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Versicherung und Steuern im Studium auf zwei Seiten</w:t>
      </w:r>
    </w:p>
    <w:p>
      <w:pPr>
        <w:spacing w:before="0" w:after="160" w:line="276" w:lineRule="auto"/>
      </w:pPr>
      <w:r>
        <w:rPr>
          <w:rFonts w:ascii="Arial" w:hAnsi="Arial"/>
          <w:b w:val="0"/>
          <w:i w:val="0"/>
          <w:color w:val="111111"/>
          <w:sz w:val="22"/>
        </w:rPr>
        <w:t>Auf den nächsten zwei Seiten stehen die Krankenversicherung im Studium im Überblick, weitere Pflichtversicherungen, dazu die erste Steuererklärung mit Werbungskosten, Verlustvortrag, Lohnsteuerklasse und Rundfunkbeitrag.</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Den Wechsel von der Familienversicherung in die studentische Pflichtversicherung, bevor eine Altersgrenze erreicht wird.</w:t>
      </w:r>
    </w:p>
    <w:p>
      <w:pPr>
        <w:spacing w:before="0" w:after="80" w:line="276" w:lineRule="auto"/>
        <w:ind w:left="340" w:hanging="340"/>
      </w:pPr>
      <w:r>
        <w:rPr>
          <w:color w:val="00A85A"/>
        </w:rPr>
        <w:t xml:space="preserve">▪  </w:t>
      </w:r>
      <w:r>
        <w:rPr>
          <w:rFonts w:ascii="Arial" w:hAnsi="Arial"/>
          <w:sz w:val="22"/>
        </w:rPr>
        <w:t>Die erste Steuererklärung, wenn unklar ist, was als Werbungskosten zählt.</w:t>
      </w:r>
    </w:p>
    <w:p>
      <w:pPr>
        <w:spacing w:before="0" w:after="80" w:line="276" w:lineRule="auto"/>
        <w:ind w:left="340" w:hanging="340"/>
      </w:pPr>
      <w:r>
        <w:rPr>
          <w:color w:val="00A85A"/>
        </w:rPr>
        <w:t xml:space="preserve">▪  </w:t>
      </w:r>
      <w:r>
        <w:rPr>
          <w:rFonts w:ascii="Arial" w:hAnsi="Arial"/>
          <w:sz w:val="22"/>
        </w:rPr>
        <w:t>Den Antrag auf Befreiung vom Rundfunkbeitrag bei laufendem BAföG-Bezug.</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Die Familienversicherung läuft über die Altersgrenze hinaus weiter, ohne dass der Wechsel gemeldet wird.</w:t>
      </w:r>
    </w:p>
    <w:p>
      <w:pPr>
        <w:spacing w:before="0" w:after="80" w:line="276" w:lineRule="auto"/>
        <w:ind w:left="340" w:hanging="340"/>
      </w:pPr>
      <w:r>
        <w:rPr>
          <w:color w:val="00A85A"/>
        </w:rPr>
        <w:t xml:space="preserve">▪  </w:t>
      </w:r>
      <w:r>
        <w:rPr>
          <w:rFonts w:ascii="Arial" w:hAnsi="Arial"/>
          <w:sz w:val="22"/>
        </w:rPr>
        <w:t>Eine Steuererklärung wird nicht abgegeben, obwohl zu viel gezahlte Lohnsteuer zurückkäme.</w:t>
      </w:r>
    </w:p>
    <w:p>
      <w:pPr>
        <w:spacing w:before="0" w:after="80" w:line="276" w:lineRule="auto"/>
        <w:ind w:left="340" w:hanging="340"/>
      </w:pPr>
      <w:r>
        <w:rPr>
          <w:color w:val="00A85A"/>
        </w:rPr>
        <w:t xml:space="preserve">▪  </w:t>
      </w:r>
      <w:r>
        <w:rPr>
          <w:rFonts w:ascii="Arial" w:hAnsi="Arial"/>
          <w:sz w:val="22"/>
        </w:rPr>
        <w:t>Die Befreiung vom Rundfunkbeitrag wird nicht beantragt, obwohl die Voraussetzungen vorliegen.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verpasste Meldung bei der Krankenkasse oder eine liegen gelassene Steuererklärung kostet echtes Geld. Wir prüfen Anträge und Formulare so genau wie einen Text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STUDIUM &amp; GELD</w:t>
      </w:r>
    </w:p>
    <w:p>
      <w:pPr>
        <w:spacing w:before="0" w:after="280" w:line="252" w:lineRule="auto"/>
      </w:pPr>
      <w:r>
        <w:rPr>
          <w:rFonts w:ascii="Arial" w:hAnsi="Arial"/>
          <w:b/>
          <w:i w:val="0"/>
          <w:color w:val="111111"/>
          <w:sz w:val="38"/>
        </w:rPr>
        <w:t>Versicherung und Steuern im Studium</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Bis zu einer Altersgrenze läuft die Familienversicherung meist automatisch mit, danach übernimmt die studentische Pflichtversicherung oder eine freiwillige Versicherung.</w:t>
            </w:r>
          </w:p>
        </w:tc>
      </w:tr>
    </w:tbl>
    <w:p>
      <w:pPr>
        <w:spacing w:before="0" w:after="140" w:line="20" w:lineRule="exact"/>
      </w:pPr>
    </w:p>
    <w:p>
      <w:pPr>
        <w:spacing w:before="280" w:after="120" w:line="276" w:lineRule="auto"/>
      </w:pPr>
      <w:r>
        <w:rPr>
          <w:rFonts w:ascii="Arial" w:hAnsi="Arial"/>
          <w:b/>
          <w:i w:val="0"/>
          <w:color w:val="111111"/>
          <w:sz w:val="24"/>
        </w:rPr>
        <w:t>Krankenversicherung im Studium im Überblick</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95"/>
        <w:gridCol w:w="3336"/>
        <w:gridCol w:w="3707"/>
      </w:tblGrid>
      <w:tr>
        <w:tc>
          <w:tcPr>
            <w:tcW w:type="dxa" w:w="2595"/>
            <w:shd w:val="clear" w:color="auto" w:fill="F2F8F4"/>
            <w:tcMar>
              <w:left w:w="80" w:type="dxa"/>
              <w:right w:w="80" w:type="dxa"/>
            </w:tcMar>
          </w:tcPr>
          <w:p>
            <w:pPr>
              <w:spacing w:before="40" w:after="40" w:line="264" w:lineRule="auto"/>
            </w:pPr>
            <w:r>
              <w:rPr>
                <w:rFonts w:ascii="Arial" w:hAnsi="Arial"/>
                <w:b/>
                <w:color w:val="006B46"/>
                <w:sz w:val="15"/>
              </w:rPr>
              <w:t>Form</w:t>
            </w:r>
          </w:p>
        </w:tc>
        <w:tc>
          <w:tcPr>
            <w:tcW w:type="dxa" w:w="3336"/>
            <w:shd w:val="clear" w:color="auto" w:fill="F2F8F4"/>
            <w:tcMar>
              <w:left w:w="80" w:type="dxa"/>
              <w:right w:w="80" w:type="dxa"/>
            </w:tcMar>
          </w:tcPr>
          <w:p>
            <w:pPr>
              <w:spacing w:before="40" w:after="40" w:line="264" w:lineRule="auto"/>
            </w:pPr>
            <w:r>
              <w:rPr>
                <w:rFonts w:ascii="Arial" w:hAnsi="Arial"/>
                <w:b/>
                <w:color w:val="006B46"/>
                <w:sz w:val="15"/>
              </w:rPr>
              <w:t>Wann sie gilt</w:t>
            </w:r>
          </w:p>
        </w:tc>
        <w:tc>
          <w:tcPr>
            <w:tcW w:type="dxa" w:w="3707"/>
            <w:shd w:val="clear" w:color="auto" w:fill="F2F8F4"/>
            <w:tcMar>
              <w:left w:w="80" w:type="dxa"/>
              <w:right w:w="80" w:type="dxa"/>
            </w:tcMar>
          </w:tcPr>
          <w:p>
            <w:pPr>
              <w:spacing w:before="40" w:after="40" w:line="264" w:lineRule="auto"/>
            </w:pPr>
            <w:r>
              <w:rPr>
                <w:rFonts w:ascii="Arial" w:hAnsi="Arial"/>
                <w:b/>
                <w:color w:val="006B46"/>
                <w:sz w:val="15"/>
              </w:rPr>
              <w:t>Worauf achten</w:t>
            </w:r>
          </w:p>
        </w:tc>
      </w:tr>
      <w:tr>
        <w:tc>
          <w:tcPr>
            <w:tcW w:type="dxa" w:w="2595"/>
            <w:tcMar>
              <w:left w:w="80" w:type="dxa"/>
              <w:right w:w="80" w:type="dxa"/>
            </w:tcMar>
          </w:tcPr>
          <w:p>
            <w:pPr>
              <w:spacing w:before="40" w:after="40" w:line="264" w:lineRule="auto"/>
            </w:pPr>
            <w:r>
              <w:rPr>
                <w:rFonts w:ascii="Arial" w:hAnsi="Arial"/>
                <w:b/>
                <w:color w:val="111111"/>
                <w:sz w:val="15"/>
              </w:rPr>
              <w:t>Familienversicherung</w:t>
            </w:r>
          </w:p>
        </w:tc>
        <w:tc>
          <w:tcPr>
            <w:tcW w:type="dxa" w:w="3336"/>
            <w:tcMar>
              <w:left w:w="80" w:type="dxa"/>
              <w:right w:w="80" w:type="dxa"/>
            </w:tcMar>
          </w:tcPr>
          <w:p>
            <w:pPr>
              <w:spacing w:before="40" w:after="40" w:line="264" w:lineRule="auto"/>
            </w:pPr>
            <w:r>
              <w:rPr>
                <w:rFonts w:ascii="Arial" w:hAnsi="Arial"/>
                <w:b w:val="0"/>
                <w:color w:val="111111"/>
                <w:sz w:val="15"/>
              </w:rPr>
              <w:t>beitragsfrei über Vater oder Mutter, bis zu einer gesetzlichen Altersgrenze</w:t>
            </w:r>
          </w:p>
        </w:tc>
        <w:tc>
          <w:tcPr>
            <w:tcW w:type="dxa" w:w="3707"/>
            <w:tcMar>
              <w:left w:w="80" w:type="dxa"/>
              <w:right w:w="80" w:type="dxa"/>
            </w:tcMar>
          </w:tcPr>
          <w:p>
            <w:pPr>
              <w:spacing w:before="40" w:after="40" w:line="264" w:lineRule="auto"/>
            </w:pPr>
            <w:r>
              <w:rPr>
                <w:rFonts w:ascii="Arial" w:hAnsi="Arial"/>
                <w:b w:val="0"/>
                <w:color w:val="111111"/>
                <w:sz w:val="15"/>
              </w:rPr>
              <w:t>eigenes Einkommen darf die Grenze der Krankenkasse nicht überschreiten</w:t>
            </w:r>
          </w:p>
        </w:tc>
      </w:tr>
      <w:tr>
        <w:tc>
          <w:tcPr>
            <w:tcW w:type="dxa" w:w="2595"/>
            <w:tcMar>
              <w:left w:w="80" w:type="dxa"/>
              <w:right w:w="80" w:type="dxa"/>
            </w:tcMar>
          </w:tcPr>
          <w:p>
            <w:pPr>
              <w:spacing w:before="40" w:after="40" w:line="264" w:lineRule="auto"/>
            </w:pPr>
            <w:r>
              <w:rPr>
                <w:rFonts w:ascii="Arial" w:hAnsi="Arial"/>
                <w:b/>
                <w:color w:val="111111"/>
                <w:sz w:val="15"/>
              </w:rPr>
              <w:t>studentische Pflichtversicherung</w:t>
            </w:r>
          </w:p>
        </w:tc>
        <w:tc>
          <w:tcPr>
            <w:tcW w:type="dxa" w:w="3336"/>
            <w:tcMar>
              <w:left w:w="80" w:type="dxa"/>
              <w:right w:w="80" w:type="dxa"/>
            </w:tcMar>
          </w:tcPr>
          <w:p>
            <w:pPr>
              <w:spacing w:before="40" w:after="40" w:line="264" w:lineRule="auto"/>
            </w:pPr>
            <w:r>
              <w:rPr>
                <w:rFonts w:ascii="Arial" w:hAnsi="Arial"/>
                <w:b w:val="0"/>
                <w:color w:val="111111"/>
                <w:sz w:val="15"/>
              </w:rPr>
              <w:t>ab der Immatrikulation, meist bis zu einer gesetzlichen Altersgrenze</w:t>
            </w:r>
          </w:p>
        </w:tc>
        <w:tc>
          <w:tcPr>
            <w:tcW w:type="dxa" w:w="3707"/>
            <w:tcMar>
              <w:left w:w="80" w:type="dxa"/>
              <w:right w:w="80" w:type="dxa"/>
            </w:tcMar>
          </w:tcPr>
          <w:p>
            <w:pPr>
              <w:spacing w:before="40" w:after="40" w:line="264" w:lineRule="auto"/>
            </w:pPr>
            <w:r>
              <w:rPr>
                <w:rFonts w:ascii="Arial" w:hAnsi="Arial"/>
                <w:b w:val="0"/>
                <w:color w:val="111111"/>
                <w:sz w:val="15"/>
              </w:rPr>
              <w:t>günstiger Studierendentarif, Ummeldung über die Hochschule nötig</w:t>
            </w:r>
          </w:p>
        </w:tc>
      </w:tr>
      <w:tr>
        <w:tc>
          <w:tcPr>
            <w:tcW w:type="dxa" w:w="2595"/>
            <w:tcMar>
              <w:left w:w="80" w:type="dxa"/>
              <w:right w:w="80" w:type="dxa"/>
            </w:tcMar>
          </w:tcPr>
          <w:p>
            <w:pPr>
              <w:spacing w:before="40" w:after="40" w:line="264" w:lineRule="auto"/>
            </w:pPr>
            <w:r>
              <w:rPr>
                <w:rFonts w:ascii="Arial" w:hAnsi="Arial"/>
                <w:b/>
                <w:color w:val="111111"/>
                <w:sz w:val="15"/>
              </w:rPr>
              <w:t>freiwillige gesetzliche Versicherung</w:t>
            </w:r>
          </w:p>
        </w:tc>
        <w:tc>
          <w:tcPr>
            <w:tcW w:type="dxa" w:w="3336"/>
            <w:tcMar>
              <w:left w:w="80" w:type="dxa"/>
              <w:right w:w="80" w:type="dxa"/>
            </w:tcMar>
          </w:tcPr>
          <w:p>
            <w:pPr>
              <w:spacing w:before="40" w:after="40" w:line="264" w:lineRule="auto"/>
            </w:pPr>
            <w:r>
              <w:rPr>
                <w:rFonts w:ascii="Arial" w:hAnsi="Arial"/>
                <w:b w:val="0"/>
                <w:color w:val="111111"/>
                <w:sz w:val="15"/>
              </w:rPr>
              <w:t>nach Ende der Familienversicherung oder der studentischen Pflichtversicherung</w:t>
            </w:r>
          </w:p>
        </w:tc>
        <w:tc>
          <w:tcPr>
            <w:tcW w:type="dxa" w:w="3707"/>
            <w:tcMar>
              <w:left w:w="80" w:type="dxa"/>
              <w:right w:w="80" w:type="dxa"/>
            </w:tcMar>
          </w:tcPr>
          <w:p>
            <w:pPr>
              <w:spacing w:before="40" w:after="40" w:line="264" w:lineRule="auto"/>
            </w:pPr>
            <w:r>
              <w:rPr>
                <w:rFonts w:ascii="Arial" w:hAnsi="Arial"/>
                <w:b w:val="0"/>
                <w:color w:val="111111"/>
                <w:sz w:val="15"/>
              </w:rPr>
              <w:t>Beitrag richtet sich nach Einkommen, bei Werkstudentenjob oft günstiger</w:t>
            </w:r>
          </w:p>
        </w:tc>
      </w:tr>
      <w:tr>
        <w:tc>
          <w:tcPr>
            <w:tcW w:type="dxa" w:w="2595"/>
            <w:tcMar>
              <w:left w:w="80" w:type="dxa"/>
              <w:right w:w="80" w:type="dxa"/>
            </w:tcMar>
          </w:tcPr>
          <w:p>
            <w:pPr>
              <w:spacing w:before="40" w:after="40" w:line="264" w:lineRule="auto"/>
            </w:pPr>
            <w:r>
              <w:rPr>
                <w:rFonts w:ascii="Arial" w:hAnsi="Arial"/>
                <w:b/>
                <w:color w:val="111111"/>
                <w:sz w:val="15"/>
              </w:rPr>
              <w:t>private Krankenversicherung</w:t>
            </w:r>
          </w:p>
        </w:tc>
        <w:tc>
          <w:tcPr>
            <w:tcW w:type="dxa" w:w="3336"/>
            <w:tcMar>
              <w:left w:w="80" w:type="dxa"/>
              <w:right w:w="80" w:type="dxa"/>
            </w:tcMar>
          </w:tcPr>
          <w:p>
            <w:pPr>
              <w:spacing w:before="40" w:after="40" w:line="264" w:lineRule="auto"/>
            </w:pPr>
            <w:r>
              <w:rPr>
                <w:rFonts w:ascii="Arial" w:hAnsi="Arial"/>
                <w:b w:val="0"/>
                <w:color w:val="111111"/>
                <w:sz w:val="15"/>
              </w:rPr>
              <w:t>für Studierende mit privat versicherten Eltern oder nach eigener Wahl</w:t>
            </w:r>
          </w:p>
        </w:tc>
        <w:tc>
          <w:tcPr>
            <w:tcW w:type="dxa" w:w="3707"/>
            <w:tcMar>
              <w:left w:w="80" w:type="dxa"/>
              <w:right w:w="80" w:type="dxa"/>
            </w:tcMar>
          </w:tcPr>
          <w:p>
            <w:pPr>
              <w:spacing w:before="40" w:after="40" w:line="264" w:lineRule="auto"/>
            </w:pPr>
            <w:r>
              <w:rPr>
                <w:rFonts w:ascii="Arial" w:hAnsi="Arial"/>
                <w:b w:val="0"/>
                <w:color w:val="111111"/>
                <w:sz w:val="15"/>
              </w:rPr>
              <w:t>Rückkehr in die gesetzliche Versicherung später oft nur eingeschränkt möglich</w:t>
            </w:r>
          </w:p>
        </w:tc>
      </w:tr>
      <w:tr>
        <w:tc>
          <w:tcPr>
            <w:tcW w:type="dxa" w:w="2595"/>
            <w:tcMar>
              <w:left w:w="80" w:type="dxa"/>
              <w:right w:w="80" w:type="dxa"/>
            </w:tcMar>
          </w:tcPr>
          <w:p>
            <w:pPr>
              <w:spacing w:before="40" w:after="40" w:line="264" w:lineRule="auto"/>
            </w:pPr>
            <w:r>
              <w:rPr>
                <w:rFonts w:ascii="Arial" w:hAnsi="Arial"/>
                <w:b/>
                <w:color w:val="111111"/>
                <w:sz w:val="15"/>
              </w:rPr>
              <w:t>Befreiung von der Versicherungspflicht</w:t>
            </w:r>
          </w:p>
        </w:tc>
        <w:tc>
          <w:tcPr>
            <w:tcW w:type="dxa" w:w="3336"/>
            <w:tcMar>
              <w:left w:w="80" w:type="dxa"/>
              <w:right w:w="80" w:type="dxa"/>
            </w:tcMar>
          </w:tcPr>
          <w:p>
            <w:pPr>
              <w:spacing w:before="40" w:after="40" w:line="264" w:lineRule="auto"/>
            </w:pPr>
            <w:r>
              <w:rPr>
                <w:rFonts w:ascii="Arial" w:hAnsi="Arial"/>
                <w:b w:val="0"/>
                <w:color w:val="111111"/>
                <w:sz w:val="15"/>
              </w:rPr>
              <w:t>auf Antrag bei bestehender anderweitiger Absicherung</w:t>
            </w:r>
          </w:p>
        </w:tc>
        <w:tc>
          <w:tcPr>
            <w:tcW w:type="dxa" w:w="3707"/>
            <w:tcMar>
              <w:left w:w="80" w:type="dxa"/>
              <w:right w:w="80" w:type="dxa"/>
            </w:tcMar>
          </w:tcPr>
          <w:p>
            <w:pPr>
              <w:spacing w:before="40" w:after="40" w:line="264" w:lineRule="auto"/>
            </w:pPr>
            <w:r>
              <w:rPr>
                <w:rFonts w:ascii="Arial" w:hAnsi="Arial"/>
                <w:b w:val="0"/>
                <w:color w:val="111111"/>
                <w:sz w:val="15"/>
              </w:rPr>
              <w:t>die Befreiung ist unwiderruflich, gut prüfen vor dem Antrag</w:t>
            </w:r>
          </w:p>
        </w:tc>
      </w:tr>
    </w:tbl>
    <w:p>
      <w:pPr>
        <w:spacing w:before="0" w:after="120" w:line="276" w:lineRule="auto"/>
      </w:pPr>
    </w:p>
    <w:p>
      <w:pPr>
        <w:spacing w:before="280" w:after="120" w:line="276" w:lineRule="auto"/>
      </w:pPr>
      <w:r>
        <w:rPr>
          <w:rFonts w:ascii="Arial" w:hAnsi="Arial"/>
          <w:b/>
          <w:i w:val="0"/>
          <w:color w:val="111111"/>
          <w:sz w:val="24"/>
        </w:rPr>
        <w:t>Altersgrenzen und was danach passiert</w:t>
      </w:r>
    </w:p>
    <w:p>
      <w:pPr>
        <w:spacing w:before="0" w:after="120" w:line="276" w:lineRule="auto"/>
      </w:pPr>
      <w:r>
        <w:rPr>
          <w:rFonts w:ascii="Arial" w:hAnsi="Arial"/>
          <w:b w:val="0"/>
          <w:i w:val="0"/>
          <w:color w:val="111111"/>
          <w:sz w:val="22"/>
        </w:rPr>
        <w:t>Die Familienversicherung und die vergünstigte studentische Pflichtversicherung sind an gesetzliche Altersgrenzen gebunden, die genaue Zahl nennt dir deine Krankenkasse. Nach dem Überschreiten wechselst du automatisch oder auf Antrag in die freiwillige Versicherung. Gründe wie ein längeres Fachstudium, Wehrdienst oder Bundesfreiwilligendienst, ein freiwilliges soziales Jahr oder eigene Kinder können die Altersgrenze auf Antrag verschieben, das prüft ebenfalls die Krankenkasse.</w:t>
      </w:r>
    </w:p>
    <w:p>
      <w:pPr>
        <w:spacing w:before="280" w:after="120" w:line="276" w:lineRule="auto"/>
      </w:pPr>
      <w:r>
        <w:rPr>
          <w:rFonts w:ascii="Arial" w:hAnsi="Arial"/>
          <w:b/>
          <w:i w:val="0"/>
          <w:color w:val="111111"/>
          <w:sz w:val="24"/>
        </w:rPr>
        <w:t>Weitere Pflichtversicherungen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95"/>
        <w:gridCol w:w="7043"/>
      </w:tblGrid>
      <w:tr>
        <w:tc>
          <w:tcPr>
            <w:tcW w:type="dxa" w:w="2595"/>
            <w:shd w:val="clear" w:color="auto" w:fill="F2F8F4"/>
            <w:tcMar>
              <w:left w:w="80" w:type="dxa"/>
              <w:right w:w="80" w:type="dxa"/>
            </w:tcMar>
          </w:tcPr>
          <w:p>
            <w:pPr>
              <w:spacing w:before="40" w:after="40" w:line="264" w:lineRule="auto"/>
            </w:pPr>
            <w:r>
              <w:rPr>
                <w:rFonts w:ascii="Arial" w:hAnsi="Arial"/>
                <w:b/>
                <w:color w:val="006B46"/>
                <w:sz w:val="16"/>
              </w:rPr>
              <w:t>Versicherung</w:t>
            </w:r>
          </w:p>
        </w:tc>
        <w:tc>
          <w:tcPr>
            <w:tcW w:type="dxa" w:w="7043"/>
            <w:shd w:val="clear" w:color="auto" w:fill="F2F8F4"/>
            <w:tcMar>
              <w:left w:w="80" w:type="dxa"/>
              <w:right w:w="80" w:type="dxa"/>
            </w:tcMar>
          </w:tcPr>
          <w:p>
            <w:pPr>
              <w:spacing w:before="40" w:after="40" w:line="264" w:lineRule="auto"/>
            </w:pPr>
            <w:r>
              <w:rPr>
                <w:rFonts w:ascii="Arial" w:hAnsi="Arial"/>
                <w:b/>
                <w:color w:val="006B46"/>
                <w:sz w:val="16"/>
              </w:rPr>
              <w:t>Wer im Studium zahlt</w:t>
            </w:r>
          </w:p>
        </w:tc>
      </w:tr>
      <w:tr>
        <w:tc>
          <w:tcPr>
            <w:tcW w:type="dxa" w:w="2595"/>
            <w:tcMar>
              <w:left w:w="80" w:type="dxa"/>
              <w:right w:w="80" w:type="dxa"/>
            </w:tcMar>
          </w:tcPr>
          <w:p>
            <w:pPr>
              <w:spacing w:before="40" w:after="40" w:line="264" w:lineRule="auto"/>
            </w:pPr>
            <w:r>
              <w:rPr>
                <w:rFonts w:ascii="Arial" w:hAnsi="Arial"/>
                <w:b/>
                <w:color w:val="111111"/>
                <w:sz w:val="16"/>
              </w:rPr>
              <w:t>Pflegeversicherung</w:t>
            </w:r>
          </w:p>
        </w:tc>
        <w:tc>
          <w:tcPr>
            <w:tcW w:type="dxa" w:w="7043"/>
            <w:tcMar>
              <w:left w:w="80" w:type="dxa"/>
              <w:right w:w="80" w:type="dxa"/>
            </w:tcMar>
          </w:tcPr>
          <w:p>
            <w:pPr>
              <w:spacing w:before="40" w:after="40" w:line="264" w:lineRule="auto"/>
            </w:pPr>
            <w:r>
              <w:rPr>
                <w:rFonts w:ascii="Arial" w:hAnsi="Arial"/>
                <w:b w:val="0"/>
                <w:color w:val="111111"/>
                <w:sz w:val="16"/>
              </w:rPr>
              <w:t>läuft automatisch mit der Krankenversicherung, gleicher Status wie dort</w:t>
            </w:r>
          </w:p>
        </w:tc>
      </w:tr>
      <w:tr>
        <w:tc>
          <w:tcPr>
            <w:tcW w:type="dxa" w:w="2595"/>
            <w:tcMar>
              <w:left w:w="80" w:type="dxa"/>
              <w:right w:w="80" w:type="dxa"/>
            </w:tcMar>
          </w:tcPr>
          <w:p>
            <w:pPr>
              <w:spacing w:before="40" w:after="40" w:line="264" w:lineRule="auto"/>
            </w:pPr>
            <w:r>
              <w:rPr>
                <w:rFonts w:ascii="Arial" w:hAnsi="Arial"/>
                <w:b/>
                <w:color w:val="111111"/>
                <w:sz w:val="16"/>
              </w:rPr>
              <w:t>Rentenversicherung</w:t>
            </w:r>
          </w:p>
        </w:tc>
        <w:tc>
          <w:tcPr>
            <w:tcW w:type="dxa" w:w="7043"/>
            <w:tcMar>
              <w:left w:w="80" w:type="dxa"/>
              <w:right w:w="80" w:type="dxa"/>
            </w:tcMar>
          </w:tcPr>
          <w:p>
            <w:pPr>
              <w:spacing w:before="40" w:after="40" w:line="264" w:lineRule="auto"/>
            </w:pPr>
            <w:r>
              <w:rPr>
                <w:rFonts w:ascii="Arial" w:hAnsi="Arial"/>
                <w:b w:val="0"/>
                <w:color w:val="111111"/>
                <w:sz w:val="16"/>
              </w:rPr>
              <w:t>Pflichtbeitrag bei Werkstudentenjob, bei Minijob zusätzlich zum Arbeitgeberanteil ein kleiner Eigenanteil, außer du beantragst schriftlich die Befreiung</w:t>
            </w:r>
          </w:p>
        </w:tc>
      </w:tr>
      <w:tr>
        <w:tc>
          <w:tcPr>
            <w:tcW w:type="dxa" w:w="2595"/>
            <w:tcMar>
              <w:left w:w="80" w:type="dxa"/>
              <w:right w:w="80" w:type="dxa"/>
            </w:tcMar>
          </w:tcPr>
          <w:p>
            <w:pPr>
              <w:spacing w:before="40" w:after="40" w:line="264" w:lineRule="auto"/>
            </w:pPr>
            <w:r>
              <w:rPr>
                <w:rFonts w:ascii="Arial" w:hAnsi="Arial"/>
                <w:b/>
                <w:color w:val="111111"/>
                <w:sz w:val="16"/>
              </w:rPr>
              <w:t>Arbeitslosenversicherung</w:t>
            </w:r>
          </w:p>
        </w:tc>
        <w:tc>
          <w:tcPr>
            <w:tcW w:type="dxa" w:w="7043"/>
            <w:tcMar>
              <w:left w:w="80" w:type="dxa"/>
              <w:right w:w="80" w:type="dxa"/>
            </w:tcMar>
          </w:tcPr>
          <w:p>
            <w:pPr>
              <w:spacing w:before="40" w:after="40" w:line="264" w:lineRule="auto"/>
            </w:pPr>
            <w:r>
              <w:rPr>
                <w:rFonts w:ascii="Arial" w:hAnsi="Arial"/>
                <w:b w:val="0"/>
                <w:color w:val="111111"/>
                <w:sz w:val="16"/>
              </w:rPr>
              <w:t>bei Werkstudentenjob meist nicht pflichtig wegen des Werkstudentenprivilegs, bei anderen Beschäftigungsformen unterschiedlich</w:t>
            </w:r>
          </w:p>
        </w:tc>
      </w:tr>
      <w:tr>
        <w:tc>
          <w:tcPr>
            <w:tcW w:type="dxa" w:w="2595"/>
            <w:tcMar>
              <w:left w:w="80" w:type="dxa"/>
              <w:right w:w="80" w:type="dxa"/>
            </w:tcMar>
          </w:tcPr>
          <w:p>
            <w:pPr>
              <w:spacing w:before="40" w:after="40" w:line="264" w:lineRule="auto"/>
            </w:pPr>
            <w:r>
              <w:rPr>
                <w:rFonts w:ascii="Arial" w:hAnsi="Arial"/>
                <w:b/>
                <w:color w:val="111111"/>
                <w:sz w:val="16"/>
              </w:rPr>
              <w:t>Haftpflichtversicherung</w:t>
            </w:r>
          </w:p>
        </w:tc>
        <w:tc>
          <w:tcPr>
            <w:tcW w:type="dxa" w:w="7043"/>
            <w:tcMar>
              <w:left w:w="80" w:type="dxa"/>
              <w:right w:w="80" w:type="dxa"/>
            </w:tcMar>
          </w:tcPr>
          <w:p>
            <w:pPr>
              <w:spacing w:before="40" w:after="40" w:line="264" w:lineRule="auto"/>
            </w:pPr>
            <w:r>
              <w:rPr>
                <w:rFonts w:ascii="Arial" w:hAnsi="Arial"/>
                <w:b w:val="0"/>
                <w:color w:val="111111"/>
                <w:sz w:val="16"/>
              </w:rPr>
              <w:t>keine Pflichtversicherung, aber dringend empfohlen, oft über die Familienpolice der Eltern mitversichert</w:t>
            </w:r>
          </w:p>
        </w:tc>
      </w:tr>
    </w:tbl>
    <w:p>
      <w:pPr>
        <w:spacing w:before="0" w:after="120" w:line="276" w:lineRule="auto"/>
      </w:pPr>
    </w:p>
    <w:p>
      <w:r>
        <w:br w:type="page"/>
      </w:r>
    </w:p>
    <w:p>
      <w:pPr>
        <w:spacing w:before="280" w:after="120" w:line="276" w:lineRule="auto"/>
      </w:pPr>
      <w:r>
        <w:rPr>
          <w:rFonts w:ascii="Arial" w:hAnsi="Arial"/>
          <w:b/>
          <w:i w:val="0"/>
          <w:color w:val="111111"/>
          <w:sz w:val="24"/>
        </w:rPr>
        <w:t>Erste Steuererklärung: was zählt</w:t>
      </w:r>
    </w:p>
    <w:p>
      <w:pPr>
        <w:spacing w:before="0" w:after="60" w:line="276" w:lineRule="auto"/>
        <w:ind w:left="340" w:hanging="340"/>
      </w:pPr>
      <w:r>
        <w:rPr>
          <w:color w:val="00A85A"/>
        </w:rPr>
        <w:t xml:space="preserve">▪  </w:t>
      </w:r>
      <w:r>
        <w:rPr>
          <w:rFonts w:ascii="Arial" w:hAnsi="Arial"/>
          <w:sz w:val="22"/>
        </w:rPr>
        <w:t>Auch ohne Steuerpflicht lohnt sich oft eine freiwillige Steuererklärung, weil zu viel gezahlte Lohnsteuer zurückkommt.</w:t>
      </w:r>
    </w:p>
    <w:p>
      <w:pPr>
        <w:spacing w:before="0" w:after="60" w:line="276" w:lineRule="auto"/>
        <w:ind w:left="340" w:hanging="340"/>
      </w:pPr>
      <w:r>
        <w:rPr>
          <w:color w:val="00A85A"/>
        </w:rPr>
        <w:t xml:space="preserve">▪  </w:t>
      </w:r>
      <w:r>
        <w:rPr>
          <w:rFonts w:ascii="Arial" w:hAnsi="Arial"/>
          <w:sz w:val="22"/>
        </w:rPr>
        <w:t>Werbungskosten mindern das zu versteuernde Einkommen, dazu zählen zum Beispiel Fachliteratur, Arbeitsmittel und Fahrten zur Hochschule.</w:t>
      </w:r>
    </w:p>
    <w:p>
      <w:pPr>
        <w:spacing w:before="0" w:after="60" w:line="276" w:lineRule="auto"/>
        <w:ind w:left="340" w:hanging="340"/>
      </w:pPr>
      <w:r>
        <w:rPr>
          <w:color w:val="00A85A"/>
        </w:rPr>
        <w:t xml:space="preserve">▪  </w:t>
      </w:r>
      <w:r>
        <w:rPr>
          <w:rFonts w:ascii="Arial" w:hAnsi="Arial"/>
          <w:sz w:val="22"/>
        </w:rPr>
        <w:t>Im Erststudium ohne vorherige Berufsausbildung gelten Ausgaben meist nur als Sonderausgaben des laufenden Jahres, nicht als vortragsfähige Werbungskosten.</w:t>
      </w:r>
    </w:p>
    <w:p>
      <w:pPr>
        <w:spacing w:before="0" w:after="60" w:line="276" w:lineRule="auto"/>
        <w:ind w:left="340" w:hanging="340"/>
      </w:pPr>
      <w:r>
        <w:rPr>
          <w:color w:val="00A85A"/>
        </w:rPr>
        <w:t xml:space="preserve">▪  </w:t>
      </w:r>
      <w:r>
        <w:rPr>
          <w:rFonts w:ascii="Arial" w:hAnsi="Arial"/>
          <w:sz w:val="22"/>
        </w:rPr>
        <w:t>Im Zweitstudium oder nach einer abgeschlossenen Berufsausbildung lassen sich Kosten häufiger als Werbungskosten geltend machen.</w:t>
      </w:r>
    </w:p>
    <w:p>
      <w:pPr>
        <w:spacing w:before="280" w:after="120" w:line="276" w:lineRule="auto"/>
      </w:pPr>
      <w:r>
        <w:rPr>
          <w:rFonts w:ascii="Arial" w:hAnsi="Arial"/>
          <w:b/>
          <w:i w:val="0"/>
          <w:color w:val="111111"/>
          <w:sz w:val="24"/>
        </w:rPr>
        <w:t>Verlustvortrag</w:t>
      </w:r>
    </w:p>
    <w:p>
      <w:pPr>
        <w:spacing w:before="0" w:after="120" w:line="276" w:lineRule="auto"/>
      </w:pPr>
      <w:r>
        <w:rPr>
          <w:rFonts w:ascii="Arial" w:hAnsi="Arial"/>
          <w:b w:val="0"/>
          <w:i w:val="0"/>
          <w:color w:val="111111"/>
          <w:sz w:val="22"/>
        </w:rPr>
        <w:t>Ein Verlustvortrag trägt Ausgaben, die das eigene Einkommen im laufenden Jahr übersteigen, in spätere Jahre mit Einkommen weiter. Er lohnt sich vor allem dort, wo Werbungskosten anerkannt werden, also meist erst im Zweitstudium. Ob und wie ein Verlustvortrag im Erststudium möglich ist, ändert sich immer wieder durch Gerichtsurteile, im Zweifel beim Finanzamt oder bei der Steuerberatung nachfragen.</w:t>
      </w:r>
    </w:p>
    <w:p>
      <w:pPr>
        <w:spacing w:before="280" w:after="120" w:line="276" w:lineRule="auto"/>
      </w:pPr>
      <w:r>
        <w:rPr>
          <w:rFonts w:ascii="Arial" w:hAnsi="Arial"/>
          <w:b/>
          <w:i w:val="0"/>
          <w:color w:val="111111"/>
          <w:sz w:val="24"/>
        </w:rPr>
        <w:t>Lohnsteuerklasse</w:t>
      </w:r>
    </w:p>
    <w:p>
      <w:pPr>
        <w:spacing w:before="0" w:after="120" w:line="276" w:lineRule="auto"/>
      </w:pPr>
      <w:r>
        <w:rPr>
          <w:rFonts w:ascii="Arial" w:hAnsi="Arial"/>
          <w:b w:val="0"/>
          <w:i w:val="0"/>
          <w:color w:val="111111"/>
          <w:sz w:val="22"/>
        </w:rPr>
        <w:t>Als Studierender mit einem einzigen Job liegst du meist in Steuerklasse eins. Bei mehreren Jobs gilt der erste, meist der mit dem höheren Verdienst, in Steuerklasse eins, jeder weitere Job läuft über Steuerklasse sechs mit höherem Abzug. Zu viel gezahlte Lohnsteuer aus Steuerklasse sechs bekommst du über die Steuererklärung zurück.</w:t>
      </w:r>
    </w:p>
    <w:p>
      <w:pPr>
        <w:spacing w:before="280" w:after="120" w:line="276" w:lineRule="auto"/>
      </w:pPr>
      <w:r>
        <w:rPr>
          <w:rFonts w:ascii="Arial" w:hAnsi="Arial"/>
          <w:b/>
          <w:i w:val="0"/>
          <w:color w:val="111111"/>
          <w:sz w:val="24"/>
        </w:rPr>
        <w:t>Rundfunkbeitrag und Befreiung</w:t>
      </w:r>
    </w:p>
    <w:p>
      <w:pPr>
        <w:spacing w:before="0" w:after="60" w:line="276" w:lineRule="auto"/>
        <w:ind w:left="340" w:hanging="340"/>
      </w:pPr>
      <w:r>
        <w:rPr>
          <w:color w:val="00A85A"/>
        </w:rPr>
        <w:t xml:space="preserve">▪  </w:t>
      </w:r>
      <w:r>
        <w:rPr>
          <w:rFonts w:ascii="Arial" w:hAnsi="Arial"/>
          <w:sz w:val="22"/>
        </w:rPr>
        <w:t>Der Rundfunkbeitrag wird pro Wohnung erhoben, bei einer Wohngemeinschaft reicht meist eine Anmeldung für die ganze Wohnung.</w:t>
      </w:r>
    </w:p>
    <w:p>
      <w:pPr>
        <w:spacing w:before="0" w:after="60" w:line="276" w:lineRule="auto"/>
        <w:ind w:left="340" w:hanging="340"/>
      </w:pPr>
      <w:r>
        <w:rPr>
          <w:color w:val="00A85A"/>
        </w:rPr>
        <w:t xml:space="preserve">▪  </w:t>
      </w:r>
      <w:r>
        <w:rPr>
          <w:rFonts w:ascii="Arial" w:hAnsi="Arial"/>
          <w:sz w:val="22"/>
        </w:rPr>
        <w:t>Wohnst du noch im elterlichen Haushalt, bist du über den Beitrag der Eltern mit abgedeckt.</w:t>
      </w:r>
    </w:p>
    <w:p>
      <w:pPr>
        <w:spacing w:before="0" w:after="60" w:line="276" w:lineRule="auto"/>
        <w:ind w:left="340" w:hanging="340"/>
      </w:pPr>
      <w:r>
        <w:rPr>
          <w:color w:val="00A85A"/>
        </w:rPr>
        <w:t xml:space="preserve">▪  </w:t>
      </w:r>
      <w:r>
        <w:rPr>
          <w:rFonts w:ascii="Arial" w:hAnsi="Arial"/>
          <w:sz w:val="22"/>
        </w:rPr>
        <w:t>Beziehst du BAföG in bestimmten Formen, kannst du auf Antrag von der Beitragspflicht befreit werden, die Befreiung gilt nicht automatisch.</w:t>
      </w:r>
    </w:p>
    <w:p>
      <w:pPr>
        <w:spacing w:before="0" w:after="60" w:line="276" w:lineRule="auto"/>
        <w:ind w:left="340" w:hanging="340"/>
      </w:pPr>
      <w:r>
        <w:rPr>
          <w:color w:val="00A85A"/>
        </w:rPr>
        <w:t xml:space="preserve">▪  </w:t>
      </w:r>
      <w:r>
        <w:rPr>
          <w:rFonts w:ascii="Arial" w:hAnsi="Arial"/>
          <w:sz w:val="22"/>
        </w:rPr>
        <w:t>Ein Befreiungsantrag läuft über den Beitragsservice, nicht über die Hochschule oder das BAföG-Amt.</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Die Familienversicherung läuft über die Altersgrenze hinaus weiter, ohne dass der Wechsel in die Pflichtversicherung gemeldet wird.</w:t>
      </w:r>
    </w:p>
    <w:p>
      <w:pPr>
        <w:spacing w:before="0" w:after="60" w:line="276" w:lineRule="auto"/>
        <w:ind w:left="340" w:hanging="340"/>
      </w:pPr>
      <w:r>
        <w:rPr>
          <w:color w:val="00A85A"/>
        </w:rPr>
        <w:t xml:space="preserve">▪  </w:t>
      </w:r>
      <w:r>
        <w:rPr>
          <w:rFonts w:ascii="Arial" w:hAnsi="Arial"/>
          <w:sz w:val="22"/>
        </w:rPr>
        <w:t>Eigenes Einkommen aus einem Nebenjob wird der Krankenkasse nicht gemeldet, obwohl es die Grenze der Familienversicherung überschreitet.</w:t>
      </w:r>
    </w:p>
    <w:p>
      <w:pPr>
        <w:spacing w:before="0" w:after="60" w:line="276" w:lineRule="auto"/>
        <w:ind w:left="340" w:hanging="340"/>
      </w:pPr>
      <w:r>
        <w:rPr>
          <w:color w:val="00A85A"/>
        </w:rPr>
        <w:t xml:space="preserve">▪  </w:t>
      </w:r>
      <w:r>
        <w:rPr>
          <w:rFonts w:ascii="Arial" w:hAnsi="Arial"/>
          <w:sz w:val="22"/>
        </w:rPr>
        <w:t>Eine Steuererklärung wird nicht abgegeben, obwohl zu viel gezahlte Lohnsteuer zurückkäme.</w:t>
      </w:r>
    </w:p>
    <w:p>
      <w:pPr>
        <w:spacing w:before="0" w:after="60" w:line="276" w:lineRule="auto"/>
        <w:ind w:left="340" w:hanging="340"/>
      </w:pPr>
      <w:r>
        <w:rPr>
          <w:color w:val="00A85A"/>
        </w:rPr>
        <w:t xml:space="preserve">▪  </w:t>
      </w:r>
      <w:r>
        <w:rPr>
          <w:rFonts w:ascii="Arial" w:hAnsi="Arial"/>
          <w:sz w:val="22"/>
        </w:rPr>
        <w:t>Die Befreiung vom Rundfunkbeitrag wird nicht beantragt, obwohl die Voraussetzungen vorliegen.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Versicherung und Steuern im Studium: Merkzettel</dc:title>
  <dc:subject>Merkzettel zum Ausdrucken, zwei Seiten</dc:subject>
  <dc:creator>korrektur.de</dc:creator>
  <cp:keywords>Krankenversicherung, Studenten, Steuererklärung, Werbungskosten, Rundfunkbeitrag, Merkzettel</cp:keywords>
  <dc:description>Kostenlose Vorlage von korrektur.de. Aktuelle Fassung: https://korrektur.de/krankenversicherung-studenten</dc:description>
  <cp:lastModifiedBy>korrektur.de</cp:lastModifiedBy>
  <cp:revision>1</cp:revision>
  <dcterms:created xsi:type="dcterms:W3CDTF">2013-12-23T23:15:00Z</dcterms:created>
  <dcterms:modified xsi:type="dcterms:W3CDTF">2013-12-23T23:15:00Z</dcterms:modified>
  <cp:category>Vorlage</cp:category>
</cp:coreProperties>
</file>