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Studienwahl und Studienplatz auf drei Seiten</w:t>
      </w:r>
    </w:p>
    <w:p>
      <w:pPr>
        <w:spacing w:before="0" w:after="160" w:line="276" w:lineRule="auto"/>
      </w:pPr>
      <w:r>
        <w:rPr>
          <w:rFonts w:ascii="Arial" w:hAnsi="Arial"/>
          <w:b w:val="0"/>
          <w:i w:val="0"/>
          <w:color w:val="111111"/>
          <w:sz w:val="22"/>
        </w:rPr>
        <w:t>Auf den nächsten zwei Seiten stehen der Weg vom passenden Studiengang bis zur Einschreibung, die Bewerbungswege im Vergleich, die Auswahlquoten bei einem Numerus clausus sowie was zu tun ist, wenn eine Zusage ausbleibt.</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Am Anfang der Studienwahl, wenn noch unklar ist, welcher Studiengang und welche Hochschule wirklich passen.</w:t>
      </w:r>
    </w:p>
    <w:p>
      <w:pPr>
        <w:spacing w:before="0" w:after="80" w:line="276" w:lineRule="auto"/>
        <w:ind w:left="340" w:hanging="340"/>
      </w:pPr>
      <w:r>
        <w:rPr>
          <w:color w:val="00A85A"/>
        </w:rPr>
        <w:t xml:space="preserve">▪  </w:t>
      </w:r>
      <w:r>
        <w:rPr>
          <w:rFonts w:ascii="Arial" w:hAnsi="Arial"/>
          <w:sz w:val="22"/>
        </w:rPr>
        <w:t>Vor der Bewerbung, um Fristen bei hochschulstart und bei der Hochschule nicht zu verwechseln.</w:t>
      </w:r>
    </w:p>
    <w:p>
      <w:pPr>
        <w:spacing w:before="0" w:after="80" w:line="276" w:lineRule="auto"/>
        <w:ind w:left="340" w:hanging="340"/>
      </w:pPr>
      <w:r>
        <w:rPr>
          <w:color w:val="00A85A"/>
        </w:rPr>
        <w:t xml:space="preserve">▪  </w:t>
      </w:r>
      <w:r>
        <w:rPr>
          <w:rFonts w:ascii="Arial" w:hAnsi="Arial"/>
          <w:sz w:val="22"/>
        </w:rPr>
        <w:t>Nach einer Absage, um Nachrückverfahren, Losverfahren, Härtefallantrag und Studienplatzklage richtig einzuordnen.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Bewerbung wird nur bei hochschulstart eingereicht, obwohl der Studiengang zusätzlich eine eigene Bewerbung bei der Hochschule verlangt.</w:t>
      </w:r>
    </w:p>
    <w:p>
      <w:pPr>
        <w:spacing w:before="0" w:after="80" w:line="276" w:lineRule="auto"/>
        <w:ind w:left="340" w:hanging="340"/>
      </w:pPr>
      <w:r>
        <w:rPr>
          <w:color w:val="00A85A"/>
        </w:rPr>
        <w:t xml:space="preserve">▪  </w:t>
      </w:r>
      <w:r>
        <w:rPr>
          <w:rFonts w:ascii="Arial" w:hAnsi="Arial"/>
          <w:sz w:val="22"/>
        </w:rPr>
        <w:t>Die Annahmefrist im Zulassungsbescheid wird verpasst, der Studienplatz verfällt dadurch automatisch.</w:t>
      </w:r>
    </w:p>
    <w:p>
      <w:pPr>
        <w:spacing w:before="0" w:after="80" w:line="276" w:lineRule="auto"/>
        <w:ind w:left="340" w:hanging="340"/>
      </w:pPr>
      <w:r>
        <w:rPr>
          <w:color w:val="00A85A"/>
        </w:rPr>
        <w:t xml:space="preserve">▪  </w:t>
      </w:r>
      <w:r>
        <w:rPr>
          <w:rFonts w:ascii="Arial" w:hAnsi="Arial"/>
          <w:sz w:val="22"/>
        </w:rPr>
        <w:t>Nach der ersten Absage wird das Nachrückverfahren nicht mehr verfolgt, obwohl dort noch Plätze frei werden.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Anschreiben für ein Auswahlgespräch oder ein Härtefallantrag liest sich schlecht mit Flüchtigkeitsfehlern.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STUDIENORGANISATION</w:t>
      </w:r>
    </w:p>
    <w:p>
      <w:pPr>
        <w:spacing w:before="0" w:after="280" w:line="252" w:lineRule="auto"/>
      </w:pPr>
      <w:r>
        <w:rPr>
          <w:rFonts w:ascii="Arial" w:hAnsi="Arial"/>
          <w:b/>
          <w:i w:val="0"/>
          <w:color w:val="111111"/>
          <w:sz w:val="38"/>
        </w:rPr>
        <w:t>Studienwahl und Studienplatz auf drei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Die Zulassungsart entscheidet über den Bewerbungsweg: zulassungsfreie Studiengänge laufen über die Einschreibung direkt an der Hochschule, zulassungsbeschränkte Studiengänge meist über hochschulstart oder ein eigenes Auswahlverfahren der Hochschule.</w:t>
            </w:r>
          </w:p>
        </w:tc>
      </w:tr>
    </w:tbl>
    <w:p>
      <w:pPr>
        <w:spacing w:before="0" w:after="140" w:line="20" w:lineRule="exact"/>
      </w:pPr>
    </w:p>
    <w:p>
      <w:pPr>
        <w:spacing w:before="280" w:after="120" w:line="276" w:lineRule="auto"/>
      </w:pPr>
      <w:r>
        <w:rPr>
          <w:rFonts w:ascii="Arial" w:hAnsi="Arial"/>
          <w:b/>
          <w:i w:val="0"/>
          <w:color w:val="111111"/>
          <w:sz w:val="24"/>
        </w:rPr>
        <w:t>Weg zum Studienplatz: die Schritte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Schritt</w:t>
            </w:r>
          </w:p>
        </w:tc>
        <w:tc>
          <w:tcPr>
            <w:tcW w:type="dxa" w:w="6425"/>
            <w:shd w:val="clear" w:color="auto" w:fill="F2F8F4"/>
            <w:tcMar>
              <w:left w:w="80" w:type="dxa"/>
              <w:right w:w="80" w:type="dxa"/>
            </w:tcMar>
          </w:tcPr>
          <w:p>
            <w:pPr>
              <w:spacing w:before="40" w:after="40" w:line="264" w:lineRule="auto"/>
            </w:pPr>
            <w:r>
              <w:rPr>
                <w:rFonts w:ascii="Arial" w:hAnsi="Arial"/>
                <w:b/>
                <w:color w:val="006B46"/>
                <w:sz w:val="15"/>
              </w:rPr>
              <w:t>Worum es geht</w:t>
            </w:r>
          </w:p>
        </w:tc>
      </w:tr>
      <w:tr>
        <w:tc>
          <w:tcPr>
            <w:tcW w:type="dxa" w:w="3213"/>
            <w:tcMar>
              <w:left w:w="80" w:type="dxa"/>
              <w:right w:w="80" w:type="dxa"/>
            </w:tcMar>
          </w:tcPr>
          <w:p>
            <w:pPr>
              <w:spacing w:before="40" w:after="40" w:line="264" w:lineRule="auto"/>
            </w:pPr>
            <w:r>
              <w:rPr>
                <w:rFonts w:ascii="Arial" w:hAnsi="Arial"/>
                <w:b/>
                <w:color w:val="111111"/>
                <w:sz w:val="15"/>
              </w:rPr>
              <w:t>Studiengang eingrenzen</w:t>
            </w:r>
          </w:p>
        </w:tc>
        <w:tc>
          <w:tcPr>
            <w:tcW w:type="dxa" w:w="6425"/>
            <w:tcMar>
              <w:left w:w="80" w:type="dxa"/>
              <w:right w:w="80" w:type="dxa"/>
            </w:tcMar>
          </w:tcPr>
          <w:p>
            <w:pPr>
              <w:spacing w:before="40" w:after="40" w:line="264" w:lineRule="auto"/>
            </w:pPr>
            <w:r>
              <w:rPr>
                <w:rFonts w:ascii="Arial" w:hAnsi="Arial"/>
                <w:b w:val="0"/>
                <w:color w:val="111111"/>
                <w:sz w:val="15"/>
              </w:rPr>
              <w:t>Interessen, Stärken und Berufsziele realistisch mit dem Angebot abgleichen, mehrere Studiengänge parallel prüfen.</w:t>
            </w:r>
          </w:p>
        </w:tc>
      </w:tr>
      <w:tr>
        <w:tc>
          <w:tcPr>
            <w:tcW w:type="dxa" w:w="3213"/>
            <w:tcMar>
              <w:left w:w="80" w:type="dxa"/>
              <w:right w:w="80" w:type="dxa"/>
            </w:tcMar>
          </w:tcPr>
          <w:p>
            <w:pPr>
              <w:spacing w:before="40" w:after="40" w:line="264" w:lineRule="auto"/>
            </w:pPr>
            <w:r>
              <w:rPr>
                <w:rFonts w:ascii="Arial" w:hAnsi="Arial"/>
                <w:b/>
                <w:color w:val="111111"/>
                <w:sz w:val="15"/>
              </w:rPr>
              <w:t>Hochschule und Studienort vergleichen</w:t>
            </w:r>
          </w:p>
        </w:tc>
        <w:tc>
          <w:tcPr>
            <w:tcW w:type="dxa" w:w="6425"/>
            <w:tcMar>
              <w:left w:w="80" w:type="dxa"/>
              <w:right w:w="80" w:type="dxa"/>
            </w:tcMar>
          </w:tcPr>
          <w:p>
            <w:pPr>
              <w:spacing w:before="40" w:after="40" w:line="264" w:lineRule="auto"/>
            </w:pPr>
            <w:r>
              <w:rPr>
                <w:rFonts w:ascii="Arial" w:hAnsi="Arial"/>
                <w:b w:val="0"/>
                <w:color w:val="111111"/>
                <w:sz w:val="15"/>
              </w:rPr>
              <w:t>Zulassungsvoraussetzungen, Ausrichtung, Praxisanteil und Lebenshaltungskosten am Studienort vergleichen.</w:t>
            </w:r>
          </w:p>
        </w:tc>
      </w:tr>
      <w:tr>
        <w:tc>
          <w:tcPr>
            <w:tcW w:type="dxa" w:w="3213"/>
            <w:tcMar>
              <w:left w:w="80" w:type="dxa"/>
              <w:right w:w="80" w:type="dxa"/>
            </w:tcMar>
          </w:tcPr>
          <w:p>
            <w:pPr>
              <w:spacing w:before="40" w:after="40" w:line="264" w:lineRule="auto"/>
            </w:pPr>
            <w:r>
              <w:rPr>
                <w:rFonts w:ascii="Arial" w:hAnsi="Arial"/>
                <w:b/>
                <w:color w:val="111111"/>
                <w:sz w:val="15"/>
              </w:rPr>
              <w:t>Zulassungsart klären</w:t>
            </w:r>
          </w:p>
        </w:tc>
        <w:tc>
          <w:tcPr>
            <w:tcW w:type="dxa" w:w="6425"/>
            <w:tcMar>
              <w:left w:w="80" w:type="dxa"/>
              <w:right w:w="80" w:type="dxa"/>
            </w:tcMar>
          </w:tcPr>
          <w:p>
            <w:pPr>
              <w:spacing w:before="40" w:after="40" w:line="264" w:lineRule="auto"/>
            </w:pPr>
            <w:r>
              <w:rPr>
                <w:rFonts w:ascii="Arial" w:hAnsi="Arial"/>
                <w:b w:val="0"/>
                <w:color w:val="111111"/>
                <w:sz w:val="15"/>
              </w:rPr>
              <w:t>Prüfen, ob der Studiengang zulassungsfrei ist oder über einen Numerus clausus beziehungsweise ein eigenes Auswahlverfahren läuft.</w:t>
            </w:r>
          </w:p>
        </w:tc>
      </w:tr>
      <w:tr>
        <w:tc>
          <w:tcPr>
            <w:tcW w:type="dxa" w:w="3213"/>
            <w:tcMar>
              <w:left w:w="80" w:type="dxa"/>
              <w:right w:w="80" w:type="dxa"/>
            </w:tcMar>
          </w:tcPr>
          <w:p>
            <w:pPr>
              <w:spacing w:before="40" w:after="40" w:line="264" w:lineRule="auto"/>
            </w:pPr>
            <w:r>
              <w:rPr>
                <w:rFonts w:ascii="Arial" w:hAnsi="Arial"/>
                <w:b/>
                <w:color w:val="111111"/>
                <w:sz w:val="15"/>
              </w:rPr>
              <w:t>Bewerbung fristgerecht einreichen</w:t>
            </w:r>
          </w:p>
        </w:tc>
        <w:tc>
          <w:tcPr>
            <w:tcW w:type="dxa" w:w="6425"/>
            <w:tcMar>
              <w:left w:w="80" w:type="dxa"/>
              <w:right w:w="80" w:type="dxa"/>
            </w:tcMar>
          </w:tcPr>
          <w:p>
            <w:pPr>
              <w:spacing w:before="40" w:after="40" w:line="264" w:lineRule="auto"/>
            </w:pPr>
            <w:r>
              <w:rPr>
                <w:rFonts w:ascii="Arial" w:hAnsi="Arial"/>
                <w:b w:val="0"/>
                <w:color w:val="111111"/>
                <w:sz w:val="15"/>
              </w:rPr>
              <w:t>Über hochschulstart (bundesweite oder örtliche NC-Fächer im Dialogorientierten Serviceverfahren) oder direkt bei der Hochschule bewerben, je nach Verfahren.</w:t>
            </w:r>
          </w:p>
        </w:tc>
      </w:tr>
      <w:tr>
        <w:tc>
          <w:tcPr>
            <w:tcW w:type="dxa" w:w="3213"/>
            <w:tcMar>
              <w:left w:w="80" w:type="dxa"/>
              <w:right w:w="80" w:type="dxa"/>
            </w:tcMar>
          </w:tcPr>
          <w:p>
            <w:pPr>
              <w:spacing w:before="40" w:after="40" w:line="264" w:lineRule="auto"/>
            </w:pPr>
            <w:r>
              <w:rPr>
                <w:rFonts w:ascii="Arial" w:hAnsi="Arial"/>
                <w:b/>
                <w:color w:val="111111"/>
                <w:sz w:val="15"/>
              </w:rPr>
              <w:t>Auswahlverfahren durchlaufen</w:t>
            </w:r>
          </w:p>
        </w:tc>
        <w:tc>
          <w:tcPr>
            <w:tcW w:type="dxa" w:w="6425"/>
            <w:tcMar>
              <w:left w:w="80" w:type="dxa"/>
              <w:right w:w="80" w:type="dxa"/>
            </w:tcMar>
          </w:tcPr>
          <w:p>
            <w:pPr>
              <w:spacing w:before="40" w:after="40" w:line="264" w:lineRule="auto"/>
            </w:pPr>
            <w:r>
              <w:rPr>
                <w:rFonts w:ascii="Arial" w:hAnsi="Arial"/>
                <w:b w:val="0"/>
                <w:color w:val="111111"/>
                <w:sz w:val="15"/>
              </w:rPr>
              <w:t>Je nach Hochschule Auswahlgespräch, Eignungstest oder weitere Unterlagen einreichen.</w:t>
            </w:r>
          </w:p>
        </w:tc>
      </w:tr>
      <w:tr>
        <w:tc>
          <w:tcPr>
            <w:tcW w:type="dxa" w:w="3213"/>
            <w:tcMar>
              <w:left w:w="80" w:type="dxa"/>
              <w:right w:w="80" w:type="dxa"/>
            </w:tcMar>
          </w:tcPr>
          <w:p>
            <w:pPr>
              <w:spacing w:before="40" w:after="40" w:line="264" w:lineRule="auto"/>
            </w:pPr>
            <w:r>
              <w:rPr>
                <w:rFonts w:ascii="Arial" w:hAnsi="Arial"/>
                <w:b/>
                <w:color w:val="111111"/>
                <w:sz w:val="15"/>
              </w:rPr>
              <w:t>Zulassungsbescheid prüfen</w:t>
            </w:r>
          </w:p>
        </w:tc>
        <w:tc>
          <w:tcPr>
            <w:tcW w:type="dxa" w:w="6425"/>
            <w:tcMar>
              <w:left w:w="80" w:type="dxa"/>
              <w:right w:w="80" w:type="dxa"/>
            </w:tcMar>
          </w:tcPr>
          <w:p>
            <w:pPr>
              <w:spacing w:before="40" w:after="40" w:line="264" w:lineRule="auto"/>
            </w:pPr>
            <w:r>
              <w:rPr>
                <w:rFonts w:ascii="Arial" w:hAnsi="Arial"/>
                <w:b w:val="0"/>
                <w:color w:val="111111"/>
                <w:sz w:val="15"/>
              </w:rPr>
              <w:t>Angebot, Frist zur Annahme und eventuelle Auflagen genau lesen.</w:t>
            </w:r>
          </w:p>
        </w:tc>
      </w:tr>
      <w:tr>
        <w:tc>
          <w:tcPr>
            <w:tcW w:type="dxa" w:w="3213"/>
            <w:tcMar>
              <w:left w:w="80" w:type="dxa"/>
              <w:right w:w="80" w:type="dxa"/>
            </w:tcMar>
          </w:tcPr>
          <w:p>
            <w:pPr>
              <w:spacing w:before="40" w:after="40" w:line="264" w:lineRule="auto"/>
            </w:pPr>
            <w:r>
              <w:rPr>
                <w:rFonts w:ascii="Arial" w:hAnsi="Arial"/>
                <w:b/>
                <w:color w:val="111111"/>
                <w:sz w:val="15"/>
              </w:rPr>
              <w:t>Bei Absage reagieren</w:t>
            </w:r>
          </w:p>
        </w:tc>
        <w:tc>
          <w:tcPr>
            <w:tcW w:type="dxa" w:w="6425"/>
            <w:tcMar>
              <w:left w:w="80" w:type="dxa"/>
              <w:right w:w="80" w:type="dxa"/>
            </w:tcMar>
          </w:tcPr>
          <w:p>
            <w:pPr>
              <w:spacing w:before="40" w:after="40" w:line="264" w:lineRule="auto"/>
            </w:pPr>
            <w:r>
              <w:rPr>
                <w:rFonts w:ascii="Arial" w:hAnsi="Arial"/>
                <w:b w:val="0"/>
                <w:color w:val="111111"/>
                <w:sz w:val="15"/>
              </w:rPr>
              <w:t>Nachrückverfahren abwarten, Losverfahren erfragen, Härtefallantrag oder Studienplatzklage prüfen.</w:t>
            </w:r>
          </w:p>
        </w:tc>
      </w:tr>
      <w:tr>
        <w:tc>
          <w:tcPr>
            <w:tcW w:type="dxa" w:w="3213"/>
            <w:tcMar>
              <w:left w:w="80" w:type="dxa"/>
              <w:right w:w="80" w:type="dxa"/>
            </w:tcMar>
          </w:tcPr>
          <w:p>
            <w:pPr>
              <w:spacing w:before="40" w:after="40" w:line="264" w:lineRule="auto"/>
            </w:pPr>
            <w:r>
              <w:rPr>
                <w:rFonts w:ascii="Arial" w:hAnsi="Arial"/>
                <w:b/>
                <w:color w:val="111111"/>
                <w:sz w:val="15"/>
              </w:rPr>
              <w:t>Zulassung annehmen</w:t>
            </w:r>
          </w:p>
        </w:tc>
        <w:tc>
          <w:tcPr>
            <w:tcW w:type="dxa" w:w="6425"/>
            <w:tcMar>
              <w:left w:w="80" w:type="dxa"/>
              <w:right w:w="80" w:type="dxa"/>
            </w:tcMar>
          </w:tcPr>
          <w:p>
            <w:pPr>
              <w:spacing w:before="40" w:after="40" w:line="264" w:lineRule="auto"/>
            </w:pPr>
            <w:r>
              <w:rPr>
                <w:rFonts w:ascii="Arial" w:hAnsi="Arial"/>
                <w:b w:val="0"/>
                <w:color w:val="111111"/>
                <w:sz w:val="15"/>
              </w:rPr>
              <w:t>Fristgerecht online oder schriftlich bestätigen, wie im Bescheid beschrieben.</w:t>
            </w:r>
          </w:p>
        </w:tc>
      </w:tr>
      <w:tr>
        <w:tc>
          <w:tcPr>
            <w:tcW w:type="dxa" w:w="3213"/>
            <w:tcMar>
              <w:left w:w="80" w:type="dxa"/>
              <w:right w:w="80" w:type="dxa"/>
            </w:tcMar>
          </w:tcPr>
          <w:p>
            <w:pPr>
              <w:spacing w:before="40" w:after="40" w:line="264" w:lineRule="auto"/>
            </w:pPr>
            <w:r>
              <w:rPr>
                <w:rFonts w:ascii="Arial" w:hAnsi="Arial"/>
                <w:b/>
                <w:color w:val="111111"/>
                <w:sz w:val="15"/>
              </w:rPr>
              <w:t>Einschreiben</w:t>
            </w:r>
          </w:p>
        </w:tc>
        <w:tc>
          <w:tcPr>
            <w:tcW w:type="dxa" w:w="6425"/>
            <w:tcMar>
              <w:left w:w="80" w:type="dxa"/>
              <w:right w:w="80" w:type="dxa"/>
            </w:tcMar>
          </w:tcPr>
          <w:p>
            <w:pPr>
              <w:spacing w:before="40" w:after="40" w:line="264" w:lineRule="auto"/>
            </w:pPr>
            <w:r>
              <w:rPr>
                <w:rFonts w:ascii="Arial" w:hAnsi="Arial"/>
                <w:b w:val="0"/>
                <w:color w:val="111111"/>
                <w:sz w:val="15"/>
              </w:rPr>
              <w:t>Unterlagen einreichen, Semesterbeitrag zahlen, Studienplatz endgültig sichern.</w:t>
            </w:r>
          </w:p>
        </w:tc>
      </w:tr>
    </w:tbl>
    <w:p>
      <w:pPr>
        <w:spacing w:before="0" w:after="120" w:line="276" w:lineRule="auto"/>
      </w:pPr>
    </w:p>
    <w:p>
      <w:pPr>
        <w:spacing w:before="280" w:after="120" w:line="276" w:lineRule="auto"/>
      </w:pPr>
      <w:r>
        <w:rPr>
          <w:rFonts w:ascii="Arial" w:hAnsi="Arial"/>
          <w:b/>
          <w:i w:val="0"/>
          <w:color w:val="111111"/>
          <w:sz w:val="24"/>
        </w:rPr>
        <w:t>Bewerbungswege im Vergleich</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409"/>
        <w:gridCol w:w="4417"/>
        <w:gridCol w:w="2811"/>
      </w:tblGrid>
      <w:tr>
        <w:tc>
          <w:tcPr>
            <w:tcW w:type="dxa" w:w="2409"/>
            <w:shd w:val="clear" w:color="auto" w:fill="F2F8F4"/>
            <w:tcMar>
              <w:left w:w="80" w:type="dxa"/>
              <w:right w:w="80" w:type="dxa"/>
            </w:tcMar>
          </w:tcPr>
          <w:p>
            <w:pPr>
              <w:spacing w:before="40" w:after="40" w:line="264" w:lineRule="auto"/>
            </w:pPr>
            <w:r>
              <w:rPr>
                <w:rFonts w:ascii="Arial" w:hAnsi="Arial"/>
                <w:b/>
                <w:color w:val="006B46"/>
                <w:sz w:val="15"/>
              </w:rPr>
              <w:t>Weg</w:t>
            </w:r>
          </w:p>
        </w:tc>
        <w:tc>
          <w:tcPr>
            <w:tcW w:type="dxa" w:w="4417"/>
            <w:shd w:val="clear" w:color="auto" w:fill="F2F8F4"/>
            <w:tcMar>
              <w:left w:w="80" w:type="dxa"/>
              <w:right w:w="80" w:type="dxa"/>
            </w:tcMar>
          </w:tcPr>
          <w:p>
            <w:pPr>
              <w:spacing w:before="40" w:after="40" w:line="264" w:lineRule="auto"/>
            </w:pPr>
            <w:r>
              <w:rPr>
                <w:rFonts w:ascii="Arial" w:hAnsi="Arial"/>
                <w:b/>
                <w:color w:val="006B46"/>
                <w:sz w:val="15"/>
              </w:rPr>
              <w:t>Wie es läuft</w:t>
            </w:r>
          </w:p>
        </w:tc>
        <w:tc>
          <w:tcPr>
            <w:tcW w:type="dxa" w:w="2811"/>
            <w:shd w:val="clear" w:color="auto" w:fill="F2F8F4"/>
            <w:tcMar>
              <w:left w:w="80" w:type="dxa"/>
              <w:right w:w="80" w:type="dxa"/>
            </w:tcMar>
          </w:tcPr>
          <w:p>
            <w:pPr>
              <w:spacing w:before="40" w:after="40" w:line="264" w:lineRule="auto"/>
            </w:pPr>
            <w:r>
              <w:rPr>
                <w:rFonts w:ascii="Arial" w:hAnsi="Arial"/>
                <w:b/>
                <w:color w:val="006B46"/>
                <w:sz w:val="15"/>
              </w:rPr>
              <w:t>Für wen</w:t>
            </w:r>
          </w:p>
        </w:tc>
      </w:tr>
      <w:tr>
        <w:tc>
          <w:tcPr>
            <w:tcW w:type="dxa" w:w="2409"/>
            <w:tcMar>
              <w:left w:w="80" w:type="dxa"/>
              <w:right w:w="80" w:type="dxa"/>
            </w:tcMar>
          </w:tcPr>
          <w:p>
            <w:pPr>
              <w:spacing w:before="40" w:after="40" w:line="264" w:lineRule="auto"/>
            </w:pPr>
            <w:r>
              <w:rPr>
                <w:rFonts w:ascii="Arial" w:hAnsi="Arial"/>
                <w:b/>
                <w:color w:val="111111"/>
                <w:sz w:val="15"/>
              </w:rPr>
              <w:t>Zulassungsfreier Studiengang</w:t>
            </w:r>
          </w:p>
        </w:tc>
        <w:tc>
          <w:tcPr>
            <w:tcW w:type="dxa" w:w="4417"/>
            <w:tcMar>
              <w:left w:w="80" w:type="dxa"/>
              <w:right w:w="80" w:type="dxa"/>
            </w:tcMar>
          </w:tcPr>
          <w:p>
            <w:pPr>
              <w:spacing w:before="40" w:after="40" w:line="264" w:lineRule="auto"/>
            </w:pPr>
            <w:r>
              <w:rPr>
                <w:rFonts w:ascii="Arial" w:hAnsi="Arial"/>
                <w:b w:val="0"/>
                <w:color w:val="111111"/>
                <w:sz w:val="15"/>
              </w:rPr>
              <w:t>Direkte Einschreibung ohne Auswahlverfahren, oft nur mit Fristen und formalen Voraussetzungen.</w:t>
            </w:r>
          </w:p>
        </w:tc>
        <w:tc>
          <w:tcPr>
            <w:tcW w:type="dxa" w:w="2811"/>
            <w:tcMar>
              <w:left w:w="80" w:type="dxa"/>
              <w:right w:w="80" w:type="dxa"/>
            </w:tcMar>
          </w:tcPr>
          <w:p>
            <w:pPr>
              <w:spacing w:before="40" w:after="40" w:line="264" w:lineRule="auto"/>
            </w:pPr>
            <w:r>
              <w:rPr>
                <w:rFonts w:ascii="Arial" w:hAnsi="Arial"/>
                <w:b w:val="0"/>
                <w:color w:val="111111"/>
                <w:sz w:val="15"/>
              </w:rPr>
              <w:t>Wer die Voraussetzungen erfüllt und keinen NC-Studiengang wählt.</w:t>
            </w:r>
          </w:p>
        </w:tc>
      </w:tr>
      <w:tr>
        <w:tc>
          <w:tcPr>
            <w:tcW w:type="dxa" w:w="2409"/>
            <w:tcMar>
              <w:left w:w="80" w:type="dxa"/>
              <w:right w:w="80" w:type="dxa"/>
            </w:tcMar>
          </w:tcPr>
          <w:p>
            <w:pPr>
              <w:spacing w:before="40" w:after="40" w:line="264" w:lineRule="auto"/>
            </w:pPr>
            <w:r>
              <w:rPr>
                <w:rFonts w:ascii="Arial" w:hAnsi="Arial"/>
                <w:b/>
                <w:color w:val="111111"/>
                <w:sz w:val="15"/>
              </w:rPr>
              <w:t>Örtlicher Numerus clausus</w:t>
            </w:r>
          </w:p>
        </w:tc>
        <w:tc>
          <w:tcPr>
            <w:tcW w:type="dxa" w:w="4417"/>
            <w:tcMar>
              <w:left w:w="80" w:type="dxa"/>
              <w:right w:w="80" w:type="dxa"/>
            </w:tcMar>
          </w:tcPr>
          <w:p>
            <w:pPr>
              <w:spacing w:before="40" w:after="40" w:line="264" w:lineRule="auto"/>
            </w:pPr>
            <w:r>
              <w:rPr>
                <w:rFonts w:ascii="Arial" w:hAnsi="Arial"/>
                <w:b w:val="0"/>
                <w:color w:val="111111"/>
                <w:sz w:val="15"/>
              </w:rPr>
              <w:t>Bewerbung meist über das Dialogorientierte Serviceverfahren bei hochschulstart, die Hochschule vergibt die Plätze nach eigenen Kriterien.</w:t>
            </w:r>
          </w:p>
        </w:tc>
        <w:tc>
          <w:tcPr>
            <w:tcW w:type="dxa" w:w="2811"/>
            <w:tcMar>
              <w:left w:w="80" w:type="dxa"/>
              <w:right w:w="80" w:type="dxa"/>
            </w:tcMar>
          </w:tcPr>
          <w:p>
            <w:pPr>
              <w:spacing w:before="40" w:after="40" w:line="264" w:lineRule="auto"/>
            </w:pPr>
            <w:r>
              <w:rPr>
                <w:rFonts w:ascii="Arial" w:hAnsi="Arial"/>
                <w:b w:val="0"/>
                <w:color w:val="111111"/>
                <w:sz w:val="15"/>
              </w:rPr>
              <w:t>Wer sich für einen zulassungsbeschränkten Studiengang an einer oder mehreren Hochschulen bewirbt.</w:t>
            </w:r>
          </w:p>
        </w:tc>
      </w:tr>
      <w:tr>
        <w:tc>
          <w:tcPr>
            <w:tcW w:type="dxa" w:w="2409"/>
            <w:tcMar>
              <w:left w:w="80" w:type="dxa"/>
              <w:right w:w="80" w:type="dxa"/>
            </w:tcMar>
          </w:tcPr>
          <w:p>
            <w:pPr>
              <w:spacing w:before="40" w:after="40" w:line="264" w:lineRule="auto"/>
            </w:pPr>
            <w:r>
              <w:rPr>
                <w:rFonts w:ascii="Arial" w:hAnsi="Arial"/>
                <w:b/>
                <w:color w:val="111111"/>
                <w:sz w:val="15"/>
              </w:rPr>
              <w:t>Bundesweiter Numerus clausus</w:t>
            </w:r>
          </w:p>
        </w:tc>
        <w:tc>
          <w:tcPr>
            <w:tcW w:type="dxa" w:w="4417"/>
            <w:tcMar>
              <w:left w:w="80" w:type="dxa"/>
              <w:right w:w="80" w:type="dxa"/>
            </w:tcMar>
          </w:tcPr>
          <w:p>
            <w:pPr>
              <w:spacing w:before="40" w:after="40" w:line="264" w:lineRule="auto"/>
            </w:pPr>
            <w:r>
              <w:rPr>
                <w:rFonts w:ascii="Arial" w:hAnsi="Arial"/>
                <w:b w:val="0"/>
                <w:color w:val="111111"/>
                <w:sz w:val="15"/>
              </w:rPr>
              <w:t>Zentrale Vergabe über hochschulstart für einzelne bundesweit zulassungsbeschränkte Studiengänge, etwa Humanmedizin, Zahnmedizin, Tiermedizin und Pharmazie.</w:t>
            </w:r>
          </w:p>
        </w:tc>
        <w:tc>
          <w:tcPr>
            <w:tcW w:type="dxa" w:w="2811"/>
            <w:tcMar>
              <w:left w:w="80" w:type="dxa"/>
              <w:right w:w="80" w:type="dxa"/>
            </w:tcMar>
          </w:tcPr>
          <w:p>
            <w:pPr>
              <w:spacing w:before="40" w:after="40" w:line="264" w:lineRule="auto"/>
            </w:pPr>
            <w:r>
              <w:rPr>
                <w:rFonts w:ascii="Arial" w:hAnsi="Arial"/>
                <w:b w:val="0"/>
                <w:color w:val="111111"/>
                <w:sz w:val="15"/>
              </w:rPr>
              <w:t>Wer sich für eines dieser Fächer bewirbt.</w:t>
            </w:r>
          </w:p>
        </w:tc>
      </w:tr>
      <w:tr>
        <w:tc>
          <w:tcPr>
            <w:tcW w:type="dxa" w:w="2409"/>
            <w:tcMar>
              <w:left w:w="80" w:type="dxa"/>
              <w:right w:w="80" w:type="dxa"/>
            </w:tcMar>
          </w:tcPr>
          <w:p>
            <w:pPr>
              <w:spacing w:before="40" w:after="40" w:line="264" w:lineRule="auto"/>
            </w:pPr>
            <w:r>
              <w:rPr>
                <w:rFonts w:ascii="Arial" w:hAnsi="Arial"/>
                <w:b/>
                <w:color w:val="111111"/>
                <w:sz w:val="15"/>
              </w:rPr>
              <w:t>Eigenes Auswahlverfahren der Hochschule</w:t>
            </w:r>
          </w:p>
        </w:tc>
        <w:tc>
          <w:tcPr>
            <w:tcW w:type="dxa" w:w="4417"/>
            <w:tcMar>
              <w:left w:w="80" w:type="dxa"/>
              <w:right w:w="80" w:type="dxa"/>
            </w:tcMar>
          </w:tcPr>
          <w:p>
            <w:pPr>
              <w:spacing w:before="40" w:after="40" w:line="264" w:lineRule="auto"/>
            </w:pPr>
            <w:r>
              <w:rPr>
                <w:rFonts w:ascii="Arial" w:hAnsi="Arial"/>
                <w:b w:val="0"/>
                <w:color w:val="111111"/>
                <w:sz w:val="15"/>
              </w:rPr>
              <w:t>Zusätzlich zur Note zählen Auswahlgespräch, Eignungstest, Motivationsschreiben oder Arbeitsproben.</w:t>
            </w:r>
          </w:p>
        </w:tc>
        <w:tc>
          <w:tcPr>
            <w:tcW w:type="dxa" w:w="2811"/>
            <w:tcMar>
              <w:left w:w="80" w:type="dxa"/>
              <w:right w:w="80" w:type="dxa"/>
            </w:tcMar>
          </w:tcPr>
          <w:p>
            <w:pPr>
              <w:spacing w:before="40" w:after="40" w:line="264" w:lineRule="auto"/>
            </w:pPr>
            <w:r>
              <w:rPr>
                <w:rFonts w:ascii="Arial" w:hAnsi="Arial"/>
                <w:b w:val="0"/>
                <w:color w:val="111111"/>
                <w:sz w:val="15"/>
              </w:rPr>
              <w:t>Künstlerische, sportliche oder stark praxisorientierte Studiengänge.</w:t>
            </w:r>
          </w:p>
        </w:tc>
      </w:tr>
    </w:tbl>
    <w:p>
      <w:pPr>
        <w:spacing w:before="0" w:after="120" w:line="276" w:lineRule="auto"/>
      </w:pPr>
    </w:p>
    <w:p>
      <w:pPr>
        <w:spacing w:before="280" w:after="120" w:line="276" w:lineRule="auto"/>
      </w:pPr>
      <w:r>
        <w:rPr>
          <w:rFonts w:ascii="Arial" w:hAnsi="Arial"/>
          <w:b/>
          <w:i w:val="0"/>
          <w:color w:val="111111"/>
          <w:sz w:val="24"/>
        </w:rPr>
        <w:t>Wie Studienplätze im bundesweiten NC-Verfahren vergeben werden</w:t>
      </w:r>
    </w:p>
    <w:p>
      <w:pPr>
        <w:spacing w:before="0" w:after="120" w:line="276" w:lineRule="auto"/>
      </w:pPr>
      <w:r>
        <w:rPr>
          <w:rFonts w:ascii="Arial" w:hAnsi="Arial"/>
          <w:b w:val="0"/>
          <w:i w:val="0"/>
          <w:color w:val="111111"/>
          <w:sz w:val="22"/>
        </w:rPr>
        <w:t>Die folgenden drei Quoten gelten für die bundesweiten NC-Fächer über hochschulstart. Örtliche NC-Verfahren an einzelnen Hochschulen können eigene Regeln haben.</w:t>
      </w:r>
    </w:p>
    <w:p>
      <w:pPr>
        <w:spacing w:before="0" w:after="60" w:line="276" w:lineRule="auto"/>
        <w:ind w:left="340" w:hanging="340"/>
      </w:pPr>
      <w:r>
        <w:rPr>
          <w:color w:val="00A85A"/>
        </w:rPr>
        <w:t xml:space="preserve">▪  </w:t>
      </w:r>
      <w:r>
        <w:rPr>
          <w:rFonts w:ascii="Arial" w:hAnsi="Arial"/>
          <w:sz w:val="22"/>
        </w:rPr>
        <w:t>Abiturbestenquote: Vergabe nach Abschlussnote, unter Bewerberinnen und Bewerbern mit vergleichbaren Bildungswegen.</w:t>
      </w:r>
    </w:p>
    <w:p>
      <w:pPr>
        <w:spacing w:before="0" w:after="60" w:line="276" w:lineRule="auto"/>
        <w:ind w:left="340" w:hanging="340"/>
      </w:pPr>
      <w:r>
        <w:rPr>
          <w:color w:val="00A85A"/>
        </w:rPr>
        <w:t xml:space="preserve">▪  </w:t>
      </w:r>
      <w:r>
        <w:rPr>
          <w:rFonts w:ascii="Arial" w:hAnsi="Arial"/>
          <w:sz w:val="22"/>
        </w:rPr>
        <w:t>Zusätzliche Eignungsquote: berücksichtigt bei den bundesweiten NC-Fächern einen Teil der Plätze nach Kriterien wie Wartezeit vor Ort, Testergebnis oder anderen Eignungsnachweisen. Eine eigene Wartezeitquote gibt es im bundesweiten Verfahren seit 2020 nicht mehr. Bei örtlichen NC-Verfahren legt jede Hochschule beziehungsweise das Landesrecht eigene Kriterien fest, dort kann Wartezeit weiter eine Rolle spielen.</w:t>
      </w:r>
    </w:p>
    <w:p>
      <w:pPr>
        <w:spacing w:before="0" w:after="60" w:line="276" w:lineRule="auto"/>
        <w:ind w:left="340" w:hanging="340"/>
      </w:pPr>
      <w:r>
        <w:rPr>
          <w:color w:val="00A85A"/>
        </w:rPr>
        <w:t xml:space="preserve">▪  </w:t>
      </w:r>
      <w:r>
        <w:rPr>
          <w:rFonts w:ascii="Arial" w:hAnsi="Arial"/>
          <w:sz w:val="22"/>
        </w:rPr>
        <w:t>Auswahlverfahren der Hochschule (AdH): Die Hochschule vergibt einen eigenen Anteil der Plätze nach selbst festgelegten Kriterien wie Note, Auswahlgespräch, Vorerfahrung oder Testergebnis.</w:t>
      </w:r>
    </w:p>
    <w:p>
      <w:pPr>
        <w:spacing w:before="0" w:after="60" w:line="276" w:lineRule="auto"/>
        <w:ind w:left="340" w:hanging="340"/>
      </w:pPr>
      <w:r>
        <w:rPr>
          <w:color w:val="00A85A"/>
        </w:rPr>
        <w:t xml:space="preserve">▪  </w:t>
      </w:r>
      <w:r>
        <w:rPr>
          <w:rFonts w:ascii="Arial" w:hAnsi="Arial"/>
          <w:sz w:val="22"/>
        </w:rPr>
        <w:t>Wie groß welcher Anteil ist und welche Kriterien genau zählen, legt jede Hochschule beziehungsweise das zuständige Landesrecht selbst fest, das steht in der jeweiligen Zulassungssatzung, nicht pauschal auf diesem Merkzettel.</w:t>
      </w:r>
    </w:p>
    <w:p>
      <w:pPr>
        <w:spacing w:before="280" w:after="120" w:line="276" w:lineRule="auto"/>
      </w:pPr>
      <w:r>
        <w:rPr>
          <w:rFonts w:ascii="Arial" w:hAnsi="Arial"/>
          <w:b/>
          <w:i w:val="0"/>
          <w:color w:val="111111"/>
          <w:sz w:val="24"/>
        </w:rPr>
        <w:t>Losverfahren und Nachrückverfahren</w:t>
      </w:r>
    </w:p>
    <w:p>
      <w:pPr>
        <w:spacing w:before="0" w:after="120" w:line="276" w:lineRule="auto"/>
      </w:pPr>
      <w:r>
        <w:rPr>
          <w:rFonts w:ascii="Arial" w:hAnsi="Arial"/>
          <w:b w:val="0"/>
          <w:i w:val="0"/>
          <w:color w:val="111111"/>
          <w:sz w:val="22"/>
        </w:rPr>
        <w:t>Bleiben nach der ersten Vergaberunde Plätze frei, folgt bei den meisten Verfahren über hochschulstart automatisch ein Nachrückverfahren, bei dem freie Plätze nach der bestehenden Rangliste weitergegeben werden. Manche Hochschulen vergeben übrig gebliebene Plätze zusätzlich per Losverfahren, dafür ist meist eine gesonderte Bewerbung oder Anmeldung nötig. Ob und wie ein Losverfahren angeboten wird, steht auf der Website der jeweiligen Hochschule.</w:t>
      </w:r>
    </w:p>
    <w:p>
      <w:pPr>
        <w:spacing w:before="280" w:after="120" w:line="276" w:lineRule="auto"/>
      </w:pPr>
      <w:r>
        <w:rPr>
          <w:rFonts w:ascii="Arial" w:hAnsi="Arial"/>
          <w:b/>
          <w:i w:val="0"/>
          <w:color w:val="111111"/>
          <w:sz w:val="24"/>
        </w:rPr>
        <w:t>Auswahlgespräch vorbereiten</w:t>
      </w:r>
    </w:p>
    <w:p>
      <w:pPr>
        <w:spacing w:before="0" w:after="60" w:line="276" w:lineRule="auto"/>
        <w:ind w:left="340" w:hanging="340"/>
      </w:pPr>
      <w:r>
        <w:rPr>
          <w:color w:val="00A85A"/>
        </w:rPr>
        <w:t xml:space="preserve">▪  </w:t>
      </w:r>
      <w:r>
        <w:rPr>
          <w:rFonts w:ascii="Arial" w:hAnsi="Arial"/>
          <w:sz w:val="22"/>
        </w:rPr>
        <w:t>Studiengang und Hochschule konkret begründen können: warum dieses Fach, warum diese Hochschule.</w:t>
      </w:r>
    </w:p>
    <w:p>
      <w:pPr>
        <w:spacing w:before="0" w:after="60" w:line="276" w:lineRule="auto"/>
        <w:ind w:left="340" w:hanging="340"/>
      </w:pPr>
      <w:r>
        <w:rPr>
          <w:color w:val="00A85A"/>
        </w:rPr>
        <w:t xml:space="preserve">▪  </w:t>
      </w:r>
      <w:r>
        <w:rPr>
          <w:rFonts w:ascii="Arial" w:hAnsi="Arial"/>
          <w:sz w:val="22"/>
        </w:rPr>
        <w:t>Eigene Erfahrungen, etwa Praktikum, Ehrenamt oder Projekte, mit dem Studiengang verknüpfen.</w:t>
      </w:r>
    </w:p>
    <w:p>
      <w:pPr>
        <w:spacing w:before="0" w:after="60" w:line="276" w:lineRule="auto"/>
        <w:ind w:left="340" w:hanging="340"/>
      </w:pPr>
      <w:r>
        <w:rPr>
          <w:color w:val="00A85A"/>
        </w:rPr>
        <w:t xml:space="preserve">▪  </w:t>
      </w:r>
      <w:r>
        <w:rPr>
          <w:rFonts w:ascii="Arial" w:hAnsi="Arial"/>
          <w:sz w:val="22"/>
        </w:rPr>
        <w:t>Aktuelle Fragen und Entwicklungen im Fach zumindest in Grundzügen kennen.</w:t>
      </w:r>
    </w:p>
    <w:p>
      <w:pPr>
        <w:spacing w:before="0" w:after="60" w:line="276" w:lineRule="auto"/>
        <w:ind w:left="340" w:hanging="340"/>
      </w:pPr>
      <w:r>
        <w:rPr>
          <w:color w:val="00A85A"/>
        </w:rPr>
        <w:t xml:space="preserve">▪  </w:t>
      </w:r>
      <w:r>
        <w:rPr>
          <w:rFonts w:ascii="Arial" w:hAnsi="Arial"/>
          <w:sz w:val="22"/>
        </w:rPr>
        <w:t>Standardfragen laut durchsprechen: Stärken, Schwächen, Umgang mit Rückschlägen, Studienziel.</w:t>
      </w:r>
    </w:p>
    <w:p>
      <w:pPr>
        <w:spacing w:before="0" w:after="60" w:line="276" w:lineRule="auto"/>
        <w:ind w:left="340" w:hanging="340"/>
      </w:pPr>
      <w:r>
        <w:rPr>
          <w:color w:val="00A85A"/>
        </w:rPr>
        <w:t xml:space="preserve">▪  </w:t>
      </w:r>
      <w:r>
        <w:rPr>
          <w:rFonts w:ascii="Arial" w:hAnsi="Arial"/>
          <w:sz w:val="22"/>
        </w:rPr>
        <w:t>Eigene Fragen an die Hochschule vorbereiten, das zeigt echtes Interesse.</w:t>
      </w:r>
    </w:p>
    <w:p>
      <w:r>
        <w:br w:type="page"/>
      </w:r>
    </w:p>
    <w:p>
      <w:pPr>
        <w:spacing w:before="280" w:after="120" w:line="276" w:lineRule="auto"/>
      </w:pPr>
      <w:r>
        <w:rPr>
          <w:rFonts w:ascii="Arial" w:hAnsi="Arial"/>
          <w:b/>
          <w:i w:val="0"/>
          <w:color w:val="111111"/>
          <w:sz w:val="24"/>
        </w:rPr>
        <w:t>Wenn eine Zusage ausbleibt: Härtefall und Studienplatzklage</w:t>
      </w:r>
    </w:p>
    <w:p>
      <w:pPr>
        <w:spacing w:before="0" w:after="120" w:line="276" w:lineRule="auto"/>
      </w:pPr>
      <w:r>
        <w:rPr>
          <w:rFonts w:ascii="Arial" w:hAnsi="Arial"/>
          <w:b w:val="0"/>
          <w:i w:val="0"/>
          <w:color w:val="111111"/>
          <w:sz w:val="22"/>
        </w:rPr>
        <w:t>Wer bei der regulären Vergabe keinen Platz bekommt, kann bei besonderen persönlichen oder sozialen Gründen einen Härtefallantrag stellen, dafür ist meist nur eine sehr enge Zahl an Plätzen vorgesehen. Eine Studienplatzklage richtet sich meist gegen die Kapazitätsberechnung der Hochschule und läuft vor dem zuständigen Verwaltungsgericht, oft mit anwaltlicher Unterstützung. Fristen, Erfolgsaussichten und Kosten hängen stark vom Studiengang, der Hochschule und dem Bundesland ab, das sollte vorab mit einer spezialisierten Kanzlei oder Beratungsstelle geklärt werden.</w:t>
      </w:r>
    </w:p>
    <w:p>
      <w:pPr>
        <w:spacing w:before="280" w:after="120" w:line="276" w:lineRule="auto"/>
      </w:pPr>
      <w:r>
        <w:rPr>
          <w:rFonts w:ascii="Arial" w:hAnsi="Arial"/>
          <w:b/>
          <w:i w:val="0"/>
          <w:color w:val="111111"/>
          <w:sz w:val="24"/>
        </w:rPr>
        <w:t>Zulassungsbescheid prüfen und annehmen</w:t>
      </w:r>
    </w:p>
    <w:p>
      <w:pPr>
        <w:spacing w:before="0" w:after="120" w:line="276" w:lineRule="auto"/>
      </w:pPr>
      <w:r>
        <w:rPr>
          <w:rFonts w:ascii="Arial" w:hAnsi="Arial"/>
          <w:b w:val="0"/>
          <w:i w:val="0"/>
          <w:color w:val="111111"/>
          <w:sz w:val="22"/>
        </w:rPr>
        <w:t>Vor der Annahme prüfen, ob der Bescheid zum beworbenen Studiengang, Standort und Semester passt, welche Frist zur Annahme gilt und ob Auflagen, etwa fehlende Nachweise, genannt sind. Die Annahme erfolgt meist online im Bewerbungsportal oder schriftlich, wie im Bescheid beschrieben. Wird die Zulassung nicht fristgerecht angenommen, verfällt der Platz in der Regel automatisch.</w:t>
      </w:r>
    </w:p>
    <w:p>
      <w:pPr>
        <w:spacing w:before="280" w:after="120" w:line="276" w:lineRule="auto"/>
      </w:pPr>
      <w:r>
        <w:rPr>
          <w:rFonts w:ascii="Arial" w:hAnsi="Arial"/>
          <w:b/>
          <w:i w:val="0"/>
          <w:color w:val="111111"/>
          <w:sz w:val="24"/>
        </w:rPr>
        <w:t>Einschreibung: was meist verlangt wird</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614"/>
        <w:gridCol w:w="6024"/>
      </w:tblGrid>
      <w:tr>
        <w:tc>
          <w:tcPr>
            <w:tcW w:type="dxa" w:w="3614"/>
            <w:shd w:val="clear" w:color="auto" w:fill="F2F8F4"/>
            <w:tcMar>
              <w:left w:w="80" w:type="dxa"/>
              <w:right w:w="80" w:type="dxa"/>
            </w:tcMar>
          </w:tcPr>
          <w:p>
            <w:pPr>
              <w:spacing w:before="40" w:after="40" w:line="264" w:lineRule="auto"/>
            </w:pPr>
            <w:r>
              <w:rPr>
                <w:rFonts w:ascii="Arial" w:hAnsi="Arial"/>
                <w:b/>
                <w:color w:val="006B46"/>
                <w:sz w:val="15"/>
              </w:rPr>
              <w:t>Unterlage</w:t>
            </w:r>
          </w:p>
        </w:tc>
        <w:tc>
          <w:tcPr>
            <w:tcW w:type="dxa" w:w="6024"/>
            <w:shd w:val="clear" w:color="auto" w:fill="F2F8F4"/>
            <w:tcMar>
              <w:left w:w="80" w:type="dxa"/>
              <w:right w:w="80" w:type="dxa"/>
            </w:tcMar>
          </w:tcPr>
          <w:p>
            <w:pPr>
              <w:spacing w:before="40" w:after="40" w:line="264" w:lineRule="auto"/>
            </w:pPr>
            <w:r>
              <w:rPr>
                <w:rFonts w:ascii="Arial" w:hAnsi="Arial"/>
                <w:b/>
                <w:color w:val="006B46"/>
                <w:sz w:val="15"/>
              </w:rPr>
              <w:t>Wofür du sie brauchst</w:t>
            </w:r>
          </w:p>
        </w:tc>
      </w:tr>
      <w:tr>
        <w:tc>
          <w:tcPr>
            <w:tcW w:type="dxa" w:w="3614"/>
            <w:tcMar>
              <w:left w:w="80" w:type="dxa"/>
              <w:right w:w="80" w:type="dxa"/>
            </w:tcMar>
          </w:tcPr>
          <w:p>
            <w:pPr>
              <w:spacing w:before="40" w:after="40" w:line="264" w:lineRule="auto"/>
            </w:pPr>
            <w:r>
              <w:rPr>
                <w:rFonts w:ascii="Arial" w:hAnsi="Arial"/>
                <w:b/>
                <w:color w:val="111111"/>
                <w:sz w:val="15"/>
              </w:rPr>
              <w:t>Zulassungsbescheid oder Nachweis der Zulassungsfreiheit</w:t>
            </w:r>
          </w:p>
        </w:tc>
        <w:tc>
          <w:tcPr>
            <w:tcW w:type="dxa" w:w="6024"/>
            <w:tcMar>
              <w:left w:w="80" w:type="dxa"/>
              <w:right w:w="80" w:type="dxa"/>
            </w:tcMar>
          </w:tcPr>
          <w:p>
            <w:pPr>
              <w:spacing w:before="40" w:after="40" w:line="264" w:lineRule="auto"/>
            </w:pPr>
            <w:r>
              <w:rPr>
                <w:rFonts w:ascii="Arial" w:hAnsi="Arial"/>
                <w:b w:val="0"/>
                <w:color w:val="111111"/>
                <w:sz w:val="15"/>
              </w:rPr>
              <w:t>Grundlage der Einschreibung, zeigt den Anspruch auf den Studienplatz.</w:t>
            </w:r>
          </w:p>
        </w:tc>
      </w:tr>
      <w:tr>
        <w:tc>
          <w:tcPr>
            <w:tcW w:type="dxa" w:w="3614"/>
            <w:tcMar>
              <w:left w:w="80" w:type="dxa"/>
              <w:right w:w="80" w:type="dxa"/>
            </w:tcMar>
          </w:tcPr>
          <w:p>
            <w:pPr>
              <w:spacing w:before="40" w:after="40" w:line="264" w:lineRule="auto"/>
            </w:pPr>
            <w:r>
              <w:rPr>
                <w:rFonts w:ascii="Arial" w:hAnsi="Arial"/>
                <w:b/>
                <w:color w:val="111111"/>
                <w:sz w:val="15"/>
              </w:rPr>
              <w:t>Ausweis oder Reisepass</w:t>
            </w:r>
          </w:p>
        </w:tc>
        <w:tc>
          <w:tcPr>
            <w:tcW w:type="dxa" w:w="6024"/>
            <w:tcMar>
              <w:left w:w="80" w:type="dxa"/>
              <w:right w:w="80" w:type="dxa"/>
            </w:tcMar>
          </w:tcPr>
          <w:p>
            <w:pPr>
              <w:spacing w:before="40" w:after="40" w:line="264" w:lineRule="auto"/>
            </w:pPr>
            <w:r>
              <w:rPr>
                <w:rFonts w:ascii="Arial" w:hAnsi="Arial"/>
                <w:b w:val="0"/>
                <w:color w:val="111111"/>
                <w:sz w:val="15"/>
              </w:rPr>
              <w:t>Nachweis der Identität bei der Einschreibung.</w:t>
            </w:r>
          </w:p>
        </w:tc>
      </w:tr>
      <w:tr>
        <w:tc>
          <w:tcPr>
            <w:tcW w:type="dxa" w:w="3614"/>
            <w:tcMar>
              <w:left w:w="80" w:type="dxa"/>
              <w:right w:w="80" w:type="dxa"/>
            </w:tcMar>
          </w:tcPr>
          <w:p>
            <w:pPr>
              <w:spacing w:before="40" w:after="40" w:line="264" w:lineRule="auto"/>
            </w:pPr>
            <w:r>
              <w:rPr>
                <w:rFonts w:ascii="Arial" w:hAnsi="Arial"/>
                <w:b/>
                <w:color w:val="111111"/>
                <w:sz w:val="15"/>
              </w:rPr>
              <w:t>Schulabschlusszeugnis</w:t>
            </w:r>
          </w:p>
        </w:tc>
        <w:tc>
          <w:tcPr>
            <w:tcW w:type="dxa" w:w="6024"/>
            <w:tcMar>
              <w:left w:w="80" w:type="dxa"/>
              <w:right w:w="80" w:type="dxa"/>
            </w:tcMar>
          </w:tcPr>
          <w:p>
            <w:pPr>
              <w:spacing w:before="40" w:after="40" w:line="264" w:lineRule="auto"/>
            </w:pPr>
            <w:r>
              <w:rPr>
                <w:rFonts w:ascii="Arial" w:hAnsi="Arial"/>
                <w:b w:val="0"/>
                <w:color w:val="111111"/>
                <w:sz w:val="15"/>
              </w:rPr>
              <w:t>Original oder beglaubigte Kopie als Nachweis der Hochschulzugangsberechtigung.</w:t>
            </w:r>
          </w:p>
        </w:tc>
      </w:tr>
      <w:tr>
        <w:tc>
          <w:tcPr>
            <w:tcW w:type="dxa" w:w="3614"/>
            <w:tcMar>
              <w:left w:w="80" w:type="dxa"/>
              <w:right w:w="80" w:type="dxa"/>
            </w:tcMar>
          </w:tcPr>
          <w:p>
            <w:pPr>
              <w:spacing w:before="40" w:after="40" w:line="264" w:lineRule="auto"/>
            </w:pPr>
            <w:r>
              <w:rPr>
                <w:rFonts w:ascii="Arial" w:hAnsi="Arial"/>
                <w:b/>
                <w:color w:val="111111"/>
                <w:sz w:val="15"/>
              </w:rPr>
              <w:t>Nachweis der Krankenversicherung</w:t>
            </w:r>
          </w:p>
        </w:tc>
        <w:tc>
          <w:tcPr>
            <w:tcW w:type="dxa" w:w="6024"/>
            <w:tcMar>
              <w:left w:w="80" w:type="dxa"/>
              <w:right w:w="80" w:type="dxa"/>
            </w:tcMar>
          </w:tcPr>
          <w:p>
            <w:pPr>
              <w:spacing w:before="40" w:after="40" w:line="264" w:lineRule="auto"/>
            </w:pPr>
            <w:r>
              <w:rPr>
                <w:rFonts w:ascii="Arial" w:hAnsi="Arial"/>
                <w:b w:val="0"/>
                <w:color w:val="111111"/>
                <w:sz w:val="15"/>
              </w:rPr>
              <w:t>Ohne diesen Nachweis ist an vielen Hochschulen keine Einschreibung möglich.</w:t>
            </w:r>
          </w:p>
        </w:tc>
      </w:tr>
      <w:tr>
        <w:tc>
          <w:tcPr>
            <w:tcW w:type="dxa" w:w="3614"/>
            <w:tcMar>
              <w:left w:w="80" w:type="dxa"/>
              <w:right w:w="80" w:type="dxa"/>
            </w:tcMar>
          </w:tcPr>
          <w:p>
            <w:pPr>
              <w:spacing w:before="40" w:after="40" w:line="264" w:lineRule="auto"/>
            </w:pPr>
            <w:r>
              <w:rPr>
                <w:rFonts w:ascii="Arial" w:hAnsi="Arial"/>
                <w:b/>
                <w:color w:val="111111"/>
                <w:sz w:val="15"/>
              </w:rPr>
              <w:t>Nachweis über den gezahlten Semesterbeitrag</w:t>
            </w:r>
          </w:p>
        </w:tc>
        <w:tc>
          <w:tcPr>
            <w:tcW w:type="dxa" w:w="6024"/>
            <w:tcMar>
              <w:left w:w="80" w:type="dxa"/>
              <w:right w:w="80" w:type="dxa"/>
            </w:tcMar>
          </w:tcPr>
          <w:p>
            <w:pPr>
              <w:spacing w:before="40" w:after="40" w:line="264" w:lineRule="auto"/>
            </w:pPr>
            <w:r>
              <w:rPr>
                <w:rFonts w:ascii="Arial" w:hAnsi="Arial"/>
                <w:b w:val="0"/>
                <w:color w:val="111111"/>
                <w:sz w:val="15"/>
              </w:rPr>
              <w:t>Beleg, dass Semesterbeitrag beziehungsweise Studienbeitrag überwiesen wurde.</w:t>
            </w:r>
          </w:p>
        </w:tc>
      </w:tr>
      <w:tr>
        <w:tc>
          <w:tcPr>
            <w:tcW w:type="dxa" w:w="3614"/>
            <w:tcMar>
              <w:left w:w="80" w:type="dxa"/>
              <w:right w:w="80" w:type="dxa"/>
            </w:tcMar>
          </w:tcPr>
          <w:p>
            <w:pPr>
              <w:spacing w:before="40" w:after="40" w:line="264" w:lineRule="auto"/>
            </w:pPr>
            <w:r>
              <w:rPr>
                <w:rFonts w:ascii="Arial" w:hAnsi="Arial"/>
                <w:b/>
                <w:color w:val="111111"/>
                <w:sz w:val="15"/>
              </w:rPr>
              <w:t>Passfoto</w:t>
            </w:r>
          </w:p>
        </w:tc>
        <w:tc>
          <w:tcPr>
            <w:tcW w:type="dxa" w:w="6024"/>
            <w:tcMar>
              <w:left w:w="80" w:type="dxa"/>
              <w:right w:w="80" w:type="dxa"/>
            </w:tcMar>
          </w:tcPr>
          <w:p>
            <w:pPr>
              <w:spacing w:before="40" w:after="40" w:line="264" w:lineRule="auto"/>
            </w:pPr>
            <w:r>
              <w:rPr>
                <w:rFonts w:ascii="Arial" w:hAnsi="Arial"/>
                <w:b w:val="0"/>
                <w:color w:val="111111"/>
                <w:sz w:val="15"/>
              </w:rPr>
              <w:t>Für den Studierendenausweis, je nach Hochschule verlangt.</w:t>
            </w:r>
          </w:p>
        </w:tc>
      </w:tr>
      <w:tr>
        <w:tc>
          <w:tcPr>
            <w:tcW w:type="dxa" w:w="3614"/>
            <w:tcMar>
              <w:left w:w="80" w:type="dxa"/>
              <w:right w:w="80" w:type="dxa"/>
            </w:tcMar>
          </w:tcPr>
          <w:p>
            <w:pPr>
              <w:spacing w:before="40" w:after="40" w:line="264" w:lineRule="auto"/>
            </w:pPr>
            <w:r>
              <w:rPr>
                <w:rFonts w:ascii="Arial" w:hAnsi="Arial"/>
                <w:b/>
                <w:color w:val="111111"/>
                <w:sz w:val="15"/>
              </w:rPr>
              <w:t>Führungszeugnis</w:t>
            </w:r>
          </w:p>
        </w:tc>
        <w:tc>
          <w:tcPr>
            <w:tcW w:type="dxa" w:w="6024"/>
            <w:tcMar>
              <w:left w:w="80" w:type="dxa"/>
              <w:right w:w="80" w:type="dxa"/>
            </w:tcMar>
          </w:tcPr>
          <w:p>
            <w:pPr>
              <w:spacing w:before="40" w:after="40" w:line="264" w:lineRule="auto"/>
            </w:pPr>
            <w:r>
              <w:rPr>
                <w:rFonts w:ascii="Arial" w:hAnsi="Arial"/>
                <w:b w:val="0"/>
                <w:color w:val="111111"/>
                <w:sz w:val="15"/>
              </w:rPr>
              <w:t>Bei manchen Studiengängen Pflicht, etwa Lehramt oder Soziale Arbeit, sonst nicht nötig.</w:t>
            </w:r>
          </w:p>
        </w:tc>
      </w:tr>
      <w:tr>
        <w:tc>
          <w:tcPr>
            <w:tcW w:type="dxa" w:w="3614"/>
            <w:tcMar>
              <w:left w:w="80" w:type="dxa"/>
              <w:right w:w="80" w:type="dxa"/>
            </w:tcMar>
          </w:tcPr>
          <w:p>
            <w:pPr>
              <w:spacing w:before="40" w:after="40" w:line="264" w:lineRule="auto"/>
            </w:pPr>
            <w:r>
              <w:rPr>
                <w:rFonts w:ascii="Arial" w:hAnsi="Arial"/>
                <w:b/>
                <w:color w:val="111111"/>
                <w:sz w:val="15"/>
              </w:rPr>
              <w:t>Nachweis über Praktikum oder Sprachtest</w:t>
            </w:r>
          </w:p>
        </w:tc>
        <w:tc>
          <w:tcPr>
            <w:tcW w:type="dxa" w:w="6024"/>
            <w:tcMar>
              <w:left w:w="80" w:type="dxa"/>
              <w:right w:w="80" w:type="dxa"/>
            </w:tcMar>
          </w:tcPr>
          <w:p>
            <w:pPr>
              <w:spacing w:before="40" w:after="40" w:line="264" w:lineRule="auto"/>
            </w:pPr>
            <w:r>
              <w:rPr>
                <w:rFonts w:ascii="Arial" w:hAnsi="Arial"/>
                <w:b w:val="0"/>
                <w:color w:val="111111"/>
                <w:sz w:val="15"/>
              </w:rPr>
              <w:t>Nur nötig, wenn er laut Zulassungsordnung Voraussetzung für den Studiengang ist.</w:t>
            </w:r>
          </w:p>
        </w:tc>
      </w:tr>
    </w:tbl>
    <w:p>
      <w:pPr>
        <w:spacing w:before="0" w:after="120" w:line="276" w:lineRule="auto"/>
      </w:pP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Bewerbungsfristen bei hochschulstart und bei der Hochschule werden verwechselt, dabei können beide unterschiedlich sein.</w:t>
      </w:r>
    </w:p>
    <w:p>
      <w:pPr>
        <w:spacing w:before="0" w:after="60" w:line="276" w:lineRule="auto"/>
        <w:ind w:left="340" w:hanging="340"/>
      </w:pPr>
      <w:r>
        <w:rPr>
          <w:color w:val="00A85A"/>
        </w:rPr>
        <w:t xml:space="preserve">▪  </w:t>
      </w:r>
      <w:r>
        <w:rPr>
          <w:rFonts w:ascii="Arial" w:hAnsi="Arial"/>
          <w:sz w:val="22"/>
        </w:rPr>
        <w:t>Nach einer Absage wird nicht mehr auf das Nachrückverfahren geachtet, obwohl dort noch Plätze frei werden.</w:t>
      </w:r>
    </w:p>
    <w:p>
      <w:pPr>
        <w:spacing w:before="0" w:after="60" w:line="276" w:lineRule="auto"/>
        <w:ind w:left="340" w:hanging="340"/>
      </w:pPr>
      <w:r>
        <w:rPr>
          <w:color w:val="00A85A"/>
        </w:rPr>
        <w:t xml:space="preserve">▪  </w:t>
      </w:r>
      <w:r>
        <w:rPr>
          <w:rFonts w:ascii="Arial" w:hAnsi="Arial"/>
          <w:sz w:val="22"/>
        </w:rPr>
        <w:t>Die Annahmefrist im Zulassungsbescheid wird verpasst, der Platz verfällt dadurch automatisch.</w:t>
      </w:r>
    </w:p>
    <w:p>
      <w:pPr>
        <w:spacing w:before="0" w:after="60" w:line="276" w:lineRule="auto"/>
        <w:ind w:left="340" w:hanging="340"/>
      </w:pPr>
      <w:r>
        <w:rPr>
          <w:color w:val="00A85A"/>
        </w:rPr>
        <w:t xml:space="preserve">▪  </w:t>
      </w:r>
      <w:r>
        <w:rPr>
          <w:rFonts w:ascii="Arial" w:hAnsi="Arial"/>
          <w:sz w:val="22"/>
        </w:rPr>
        <w:t>Eine Studienplatzklage wird ohne vorherige Beratung als sichere Lösung angenommen, obwohl Erfolgsaussichten und Kosten stark schwanken.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Studienwahl und Studienplatz: Merkzettel für Bewerbung und Zulassung</dc:title>
  <dc:subject>Merkzettel zum Ausdrucken, drei Seiten</dc:subject>
  <dc:creator>korrektur.de</dc:creator>
  <cp:keywords>Studienwahl, Studienplatz, Numerus clausus, hochschulstart, Auswahlverfahren, Zulassungsbescheid, Einschreibung, Merkzettel</cp:keywords>
  <dc:description>Kostenlose Vorlage von korrektur.de. Aktuelle Fassung: https://korrektur.de/studiengang-waehlen</dc:description>
  <cp:lastModifiedBy>korrektur.de</cp:lastModifiedBy>
  <cp:revision>1</cp:revision>
  <dcterms:created xsi:type="dcterms:W3CDTF">2013-12-23T23:15:00Z</dcterms:created>
  <dcterms:modified xsi:type="dcterms:W3CDTF">2013-12-23T23:15:00Z</dcterms:modified>
  <cp:category>Vorlage</cp:category>
</cp:coreProperties>
</file>