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40" w:after="440"/>
        <w:pBdr>
          <w:bottom w:val="single" w:sz="18" w:space="10" w:color="00A85A"/>
        </w:pBdr>
      </w:pPr>
      <w:r>
        <w:drawing>
          <wp:inline xmlns:a="http://schemas.openxmlformats.org/drawingml/2006/main" xmlns:pic="http://schemas.openxmlformats.org/drawingml/2006/picture">
            <wp:extent cx="1562100" cy="304800"/>
            <wp:docPr id="1" name="Picture 1"/>
            <wp:cNvGraphicFramePr>
              <a:graphicFrameLocks noChangeAspect="1"/>
            </wp:cNvGraphicFramePr>
            <a:graphic>
              <a:graphicData uri="http://schemas.openxmlformats.org/drawingml/2006/picture">
                <pic:pic>
                  <pic:nvPicPr>
                    <pic:cNvPr id="0" name="korrektur-wortmarke-vorlagen.png"/>
                    <pic:cNvPicPr/>
                  </pic:nvPicPr>
                  <pic:blipFill>
                    <a:blip r:embed="rId10"/>
                    <a:stretch>
                      <a:fillRect/>
                    </a:stretch>
                  </pic:blipFill>
                  <pic:spPr>
                    <a:xfrm>
                      <a:off x="0" y="0"/>
                      <a:ext cx="1562100" cy="304800"/>
                    </a:xfrm>
                    <a:prstGeom prst="rect"/>
                  </pic:spPr>
                </pic:pic>
              </a:graphicData>
            </a:graphic>
          </wp:inline>
        </w:drawing>
      </w:r>
    </w:p>
    <w:p>
      <w:pPr>
        <w:spacing w:before="80" w:after="180" w:line="276" w:lineRule="auto"/>
      </w:pPr>
      <w:r>
        <w:rPr>
          <w:rFonts w:ascii="Arial" w:hAnsi="Arial"/>
          <w:b/>
          <w:i w:val="0"/>
          <w:color w:val="006B46"/>
          <w:sz w:val="17"/>
        </w:rPr>
        <w:t>MERKZETTEL ZUM FREIEN GEBRAUCH</w:t>
      </w:r>
    </w:p>
    <w:p>
      <w:pPr>
        <w:spacing w:before="0" w:after="280" w:line="252" w:lineRule="auto"/>
      </w:pPr>
      <w:r>
        <w:rPr>
          <w:rFonts w:ascii="Arial" w:hAnsi="Arial"/>
          <w:b/>
          <w:i w:val="0"/>
          <w:color w:val="111111"/>
          <w:sz w:val="38"/>
        </w:rPr>
        <w:t>Studienfächer vergleichen auf zwei Seiten</w:t>
      </w:r>
    </w:p>
    <w:p>
      <w:pPr>
        <w:spacing w:before="0" w:after="160" w:line="276" w:lineRule="auto"/>
      </w:pPr>
      <w:r>
        <w:rPr>
          <w:rFonts w:ascii="Arial" w:hAnsi="Arial"/>
          <w:b w:val="0"/>
          <w:i w:val="0"/>
          <w:color w:val="111111"/>
          <w:sz w:val="22"/>
        </w:rPr>
        <w:t>Auf den nächsten zwei Seiten stehen die sieben Punkte, an denen sich zwei Studienfächer wirklich unterscheiden, eine leere Spalte für den eigenen Vergleich, die Quellen mit belastbaren Antworten und die Denkfehler, die eine Wahl am häufigsten kippen.</w:t>
      </w:r>
    </w:p>
    <w:p>
      <w:pPr>
        <w:spacing w:before="280" w:after="120" w:line="276" w:lineRule="auto"/>
      </w:pPr>
      <w:r>
        <w:rPr>
          <w:rFonts w:ascii="Arial" w:hAnsi="Arial"/>
          <w:b/>
          <w:i w:val="0"/>
          <w:color w:val="111111"/>
          <w:sz w:val="24"/>
        </w:rPr>
        <w:t>So nutzt du den Merkzettel</w:t>
      </w:r>
    </w:p>
    <w:p>
      <w:pPr>
        <w:spacing w:before="0" w:after="80" w:line="276" w:lineRule="auto"/>
        <w:ind w:left="425" w:hanging="425"/>
      </w:pPr>
      <w:r>
        <w:rPr>
          <w:rFonts w:ascii="Arial" w:hAnsi="Arial"/>
          <w:b/>
          <w:color w:val="006B46"/>
        </w:rPr>
        <w:t xml:space="preserve">1.  </w:t>
      </w:r>
      <w:r>
        <w:rPr>
          <w:rFonts w:ascii="Arial" w:hAnsi="Arial"/>
          <w:sz w:val="22"/>
        </w:rPr>
        <w:t>Drucke nur die Seiten ab Seite 2. Diese Anleitungsseite brauchst du nicht an der Wand.</w:t>
      </w:r>
    </w:p>
    <w:p>
      <w:pPr>
        <w:spacing w:before="0" w:after="80" w:line="276" w:lineRule="auto"/>
        <w:ind w:left="425" w:hanging="425"/>
      </w:pPr>
      <w:r>
        <w:rPr>
          <w:rFonts w:ascii="Arial" w:hAnsi="Arial"/>
          <w:b/>
          <w:color w:val="006B46"/>
        </w:rPr>
        <w:t xml:space="preserve">2.  </w:t>
      </w:r>
      <w:r>
        <w:rPr>
          <w:rFonts w:ascii="Arial" w:hAnsi="Arial"/>
          <w:sz w:val="22"/>
        </w:rPr>
        <w:t>Häng den Zettel dorthin, wo du schreibst, oder leg ihn vorn in die Mappe. Ein Merkzettel wirkt nur, wenn er im Blick ist.</w:t>
      </w:r>
    </w:p>
    <w:p>
      <w:pPr>
        <w:spacing w:before="0" w:after="80" w:line="276" w:lineRule="auto"/>
        <w:ind w:left="425" w:hanging="425"/>
      </w:pPr>
      <w:r>
        <w:rPr>
          <w:rFonts w:ascii="Arial" w:hAnsi="Arial"/>
          <w:b/>
          <w:color w:val="006B46"/>
        </w:rPr>
        <w:t xml:space="preserve">3.  </w:t>
      </w:r>
      <w:r>
        <w:rPr>
          <w:rFonts w:ascii="Arial" w:hAnsi="Arial"/>
          <w:sz w:val="22"/>
        </w:rPr>
        <w:t>Lies beim Überarbeiten einmal nur nach diesem Zettel durch den Text. Eine Regel pro Durchgang findet mehr als alle auf einmal.</w:t>
      </w:r>
    </w:p>
    <w:p>
      <w:pPr>
        <w:spacing w:before="0" w:after="80" w:line="276" w:lineRule="auto"/>
        <w:ind w:left="425" w:hanging="425"/>
      </w:pPr>
      <w:r>
        <w:rPr>
          <w:rFonts w:ascii="Arial" w:hAnsi="Arial"/>
          <w:b/>
          <w:color w:val="006B46"/>
        </w:rPr>
        <w:t xml:space="preserve">4.  </w:t>
      </w:r>
      <w:r>
        <w:rPr>
          <w:rFonts w:ascii="Arial" w:hAnsi="Arial"/>
          <w:sz w:val="22"/>
        </w:rPr>
        <w:t>Die Word-Datei darfst du kürzen und ergänzen: streich, was du sicher kannst, und trag deine eigenen Stolperstellen ein.</w:t>
      </w:r>
    </w:p>
    <w:p>
      <w:pPr>
        <w:spacing w:before="280" w:after="120" w:line="276" w:lineRule="auto"/>
      </w:pPr>
      <w:r>
        <w:rPr>
          <w:rFonts w:ascii="Arial" w:hAnsi="Arial"/>
          <w:b/>
          <w:i w:val="0"/>
          <w:color w:val="111111"/>
          <w:sz w:val="24"/>
        </w:rPr>
        <w:t>Wofür der Zettel gedacht ist</w:t>
      </w:r>
    </w:p>
    <w:p>
      <w:pPr>
        <w:spacing w:before="0" w:after="80" w:line="276" w:lineRule="auto"/>
        <w:ind w:left="340" w:hanging="340"/>
      </w:pPr>
      <w:r>
        <w:rPr>
          <w:color w:val="00A85A"/>
        </w:rPr>
        <w:t xml:space="preserve">▪  </w:t>
      </w:r>
      <w:r>
        <w:rPr>
          <w:rFonts w:ascii="Arial" w:hAnsi="Arial"/>
          <w:sz w:val="22"/>
        </w:rPr>
        <w:t>Wenn zwei oder drei Fächer in der engeren Wahl stehen und die Beschreibungen auf den Hochschulseiten alle gleich klingen.</w:t>
      </w:r>
    </w:p>
    <w:p>
      <w:pPr>
        <w:spacing w:before="0" w:after="80" w:line="276" w:lineRule="auto"/>
        <w:ind w:left="340" w:hanging="340"/>
      </w:pPr>
      <w:r>
        <w:rPr>
          <w:color w:val="00A85A"/>
        </w:rPr>
        <w:t xml:space="preserve">▪  </w:t>
      </w:r>
      <w:r>
        <w:rPr>
          <w:rFonts w:ascii="Arial" w:hAnsi="Arial"/>
          <w:sz w:val="22"/>
        </w:rPr>
        <w:t>Vor dem Gespräch mit der Studienberatung, damit die richtigen Fragen mitkommen.</w:t>
      </w:r>
    </w:p>
    <w:p>
      <w:pPr>
        <w:spacing w:before="0" w:after="80" w:line="276" w:lineRule="auto"/>
        <w:ind w:left="340" w:hanging="340"/>
      </w:pPr>
      <w:r>
        <w:rPr>
          <w:color w:val="00A85A"/>
        </w:rPr>
        <w:t xml:space="preserve">▪  </w:t>
      </w:r>
      <w:r>
        <w:rPr>
          <w:rFonts w:ascii="Arial" w:hAnsi="Arial"/>
          <w:sz w:val="22"/>
        </w:rPr>
        <w:t>Im ersten Semester, wenn ein Wechsel im Raum steht und der Unterschied zwischen Fach und Hochschule sortiert werden muss.</w:t>
      </w:r>
    </w:p>
    <w:p>
      <w:pPr>
        <w:spacing w:before="280" w:after="120" w:line="276" w:lineRule="auto"/>
      </w:pPr>
      <w:r>
        <w:rPr>
          <w:rFonts w:ascii="Arial" w:hAnsi="Arial"/>
          <w:b/>
          <w:i w:val="0"/>
          <w:color w:val="111111"/>
          <w:sz w:val="24"/>
        </w:rPr>
        <w:t>Was uns in der Korrektur dazu am häufigsten begegnet</w:t>
      </w:r>
    </w:p>
    <w:p>
      <w:pPr>
        <w:spacing w:before="0" w:after="80" w:line="276" w:lineRule="auto"/>
        <w:ind w:left="340" w:hanging="340"/>
      </w:pPr>
      <w:r>
        <w:rPr>
          <w:color w:val="00A85A"/>
        </w:rPr>
        <w:t xml:space="preserve">▪  </w:t>
      </w:r>
      <w:r>
        <w:rPr>
          <w:rFonts w:ascii="Arial" w:hAnsi="Arial"/>
          <w:sz w:val="22"/>
        </w:rPr>
        <w:t>Verglichen wird der Fachname, nicht das Modulhandbuch. Zwei Fächer mit demselben Namen können an zwei Hochschulen sehr verschieden aussehen.</w:t>
      </w:r>
    </w:p>
    <w:p>
      <w:pPr>
        <w:spacing w:before="0" w:after="80" w:line="276" w:lineRule="auto"/>
        <w:ind w:left="340" w:hanging="340"/>
      </w:pPr>
      <w:r>
        <w:rPr>
          <w:color w:val="00A85A"/>
        </w:rPr>
        <w:t xml:space="preserve">▪  </w:t>
      </w:r>
      <w:r>
        <w:rPr>
          <w:rFonts w:ascii="Arial" w:hAnsi="Arial"/>
          <w:sz w:val="22"/>
        </w:rPr>
        <w:t>Der Mathematik- und Methodenanteil wird unterschätzt, weil er erst ab dem zweiten oder dritten Semester voll zuschlägt.</w:t>
      </w:r>
    </w:p>
    <w:p>
      <w:pPr>
        <w:spacing w:before="0" w:after="80" w:line="276" w:lineRule="auto"/>
        <w:ind w:left="340" w:hanging="340"/>
      </w:pPr>
      <w:r>
        <w:rPr>
          <w:color w:val="00A85A"/>
        </w:rPr>
        <w:t xml:space="preserve">▪  </w:t>
      </w:r>
      <w:r>
        <w:rPr>
          <w:rFonts w:ascii="Arial" w:hAnsi="Arial"/>
          <w:sz w:val="22"/>
        </w:rPr>
        <w:t>Entschieden wird nach dem Berufsbild am Ende, ohne die drei Jahre davor anzuschauen, die tatsächlich studiert werden.</w:t>
      </w:r>
    </w:p>
    <w:tbl>
      <w:tblPr>
        <w:tblW w:type="auto" w:w="0"/>
        <w:tblLook w:firstColumn="1" w:firstRow="1" w:lastColumn="0" w:lastRow="0" w:noHBand="0" w:noVBand="1" w:val="04A0"/>
        <w:tblBorders>
          <w:top w:val="none" w:sz="0"/>
          <w:left w:val="none" w:sz="0"/>
          <w:bottom w:val="none" w:sz="0"/>
          <w:right w:val="none" w:sz="0"/>
          <w:insideH w:val="none" w:sz="0"/>
          <w:insideV w:val="none" w:sz="0"/>
        </w:tblBorders>
      </w:tblPr>
      <w:tblGrid>
        <w:gridCol w:w="9638"/>
      </w:tblGrid>
      <w:tr>
        <w:tc>
          <w:tcPr>
            <w:tcW w:type="dxa" w:w="9638"/>
            <w:shd w:val="clear" w:color="auto" w:fill="F2F8F4"/>
            <w:tcBorders>
              <w:left w:val="single" w:sz="24" w:space="0" w:color="00A85A"/>
            </w:tcBorders>
          </w:tcPr>
          <w:p>
            <w:pPr>
              <w:spacing w:before="120" w:after="60"/>
            </w:pPr>
            <w:r>
              <w:rPr>
                <w:rFonts w:ascii="Arial" w:hAnsi="Arial"/>
                <w:b/>
                <w:color w:val="111111"/>
                <w:sz w:val="22"/>
              </w:rPr>
              <w:t>Wenn es darauf ankommt</w:t>
            </w:r>
          </w:p>
          <w:p>
            <w:pPr>
              <w:spacing w:after="120"/>
            </w:pPr>
            <w:r>
              <w:rPr>
                <w:rFonts w:ascii="Arial" w:hAnsi="Arial"/>
                <w:sz w:val="20"/>
              </w:rPr>
              <w:t xml:space="preserve">Ein Motivationsschreiben oder ein Anschreiben für ein Auswahlgespräch liest sich schlecht mit Flüchtigkeitsfehlern. Wir lesen Zeichensetzung, Rechtschreibung, Grammatik und Ausdruck gegen: </w:t>
            </w:r>
            <w:hyperlink r:id="rId11">
              <w:r>
                <w:rPr>
                  <w:rFonts w:ascii="Arial" w:hAnsi="Arial"/>
                  <w:color w:val="006B46"/>
                  <w:b/>
                  <w:u w:val="single"/>
                </w:rPr>
                <w:t>korrektur.de</w:t>
              </w:r>
            </w:hyperlink>
          </w:p>
        </w:tc>
      </w:tr>
    </w:tbl>
    <w:p>
      <w:pPr>
        <w:spacing w:before="40" w:after="80" w:line="276" w:lineRule="auto"/>
      </w:pPr>
      <w:r>
        <w:rPr>
          <w:rFonts w:ascii="Arial" w:hAnsi="Arial"/>
          <w:b w:val="0"/>
          <w:i w:val="0"/>
          <w:color w:val="555555"/>
          <w:sz w:val="18"/>
        </w:rPr>
        <w:t>Diesen Merkzettel darfst du frei nutzen, anpassen und weitergeben. Erstellt von korrektur.de. Stand: September 2026.</w:t>
      </w:r>
    </w:p>
    <w:p>
      <w:pPr>
        <w:sectPr>
          <w:footerReference w:type="default" r:id="rId9"/>
          <w:pgSz w:w="11906" w:h="16838"/>
          <w:pgMar w:top="1020" w:right="1134" w:bottom="1020" w:left="1134" w:header="720" w:footer="720" w:gutter="0"/>
          <w:cols w:space="720"/>
          <w:docGrid w:linePitch="360"/>
          <w:pgNumType w:fmt="decimal" w:start="1"/>
        </w:sectPr>
      </w:pPr>
    </w:p>
    <w:p>
      <w:pPr>
        <w:spacing w:before="80" w:after="180" w:line="276" w:lineRule="auto"/>
      </w:pPr>
      <w:r>
        <w:rPr>
          <w:rFonts w:ascii="Arial" w:hAnsi="Arial"/>
          <w:b/>
          <w:i w:val="0"/>
          <w:color w:val="006B46"/>
          <w:sz w:val="17"/>
        </w:rPr>
        <w:t>MERKZETTEL STUDIENWAHL</w:t>
      </w:r>
    </w:p>
    <w:p>
      <w:pPr>
        <w:spacing w:before="0" w:after="280" w:line="252" w:lineRule="auto"/>
      </w:pPr>
      <w:r>
        <w:rPr>
          <w:rFonts w:ascii="Arial" w:hAnsi="Arial"/>
          <w:b/>
          <w:i w:val="0"/>
          <w:color w:val="111111"/>
          <w:sz w:val="38"/>
        </w:rPr>
        <w:t>Studienfächer vergleichen auf zwei Seiten</w:t>
      </w:r>
    </w:p>
    <w:tbl>
      <w:tblPr>
        <w:tblW w:type="auto" w:w="0"/>
        <w:jc w:val="left"/>
        <w:tblLook w:firstColumn="1" w:firstRow="1" w:lastColumn="0" w:lastRow="0" w:noHBand="0" w:noVBand="1" w:val="04A0"/>
        <w:tblBorders>
          <w:top w:val="none" w:sz="0"/>
          <w:left w:val="none" w:sz="0"/>
          <w:bottom w:val="none" w:sz="0"/>
          <w:right w:val="none" w:sz="0"/>
          <w:insideH w:val="none" w:sz="0"/>
          <w:insideV w:val="none" w:sz="0"/>
        </w:tblBorders>
      </w:tblPr>
      <w:tblGrid>
        <w:gridCol w:w="9638"/>
      </w:tblGrid>
      <w:tr>
        <w:tc>
          <w:tcPr>
            <w:tcW w:type="dxa" w:w="9638"/>
            <w:shd w:val="clear" w:color="auto" w:fill="F2F8F4"/>
            <w:tcBorders>
              <w:left w:val="single" w:sz="24" w:space="0" w:color="00A85A"/>
            </w:tcBorders>
          </w:tcPr>
          <w:p>
            <w:pPr>
              <w:spacing w:before="100" w:after="100"/>
            </w:pPr>
            <w:r>
              <w:rPr>
                <w:rFonts w:ascii="Arial" w:hAnsi="Arial"/>
                <w:b/>
                <w:color w:val="006B46"/>
                <w:sz w:val="22"/>
              </w:rPr>
              <w:t>Verglichen wird nie der Fachname, sondern das Modulhandbuch einer bestimmten Hochschule. Erst darin steht, was in sechs Semestern wirklich gelernt, gerechnet und geprüft wird.</w:t>
            </w:r>
          </w:p>
        </w:tc>
      </w:tr>
    </w:tbl>
    <w:p>
      <w:pPr>
        <w:spacing w:before="0" w:after="140" w:line="20" w:lineRule="exact"/>
      </w:pPr>
    </w:p>
    <w:p>
      <w:pPr>
        <w:spacing w:before="280" w:after="120" w:line="276" w:lineRule="auto"/>
      </w:pPr>
      <w:r>
        <w:rPr>
          <w:rFonts w:ascii="Arial" w:hAnsi="Arial"/>
          <w:b/>
          <w:i w:val="0"/>
          <w:color w:val="111111"/>
          <w:sz w:val="24"/>
        </w:rPr>
        <w:t>Die sieben Prüfpunkte</w:t>
      </w:r>
    </w:p>
    <w:tbl>
      <w:tblPr>
        <w:tblW w:type="auto" w:w="0"/>
        <w:jc w:val="left"/>
        <w:tblLayout w:type="fixed"/>
        <w:tblLook w:firstColumn="1" w:firstRow="1" w:lastColumn="0" w:lastRow="0" w:noHBand="0" w:noVBand="1" w:val="04A0"/>
        <w:tblLayout w:type="fixed"/>
        <w:tblBorders>
          <w:top w:val="single" w:sz="4" w:space="0" w:color="BBBBBB"/>
          <w:left w:val="single" w:sz="4" w:space="0" w:color="BBBBBB"/>
          <w:bottom w:val="single" w:sz="4" w:space="0" w:color="BBBBBB"/>
          <w:right w:val="single" w:sz="4" w:space="0" w:color="BBBBBB"/>
          <w:insideH w:val="single" w:sz="4" w:space="0" w:color="BBBBBB"/>
          <w:insideV w:val="single" w:sz="4" w:space="0" w:color="BBBBBB"/>
        </w:tblBorders>
      </w:tblPr>
      <w:tblGrid>
        <w:gridCol w:w="3213"/>
        <w:gridCol w:w="6425"/>
      </w:tblGrid>
      <w:tr>
        <w:tc>
          <w:tcPr>
            <w:tcW w:type="dxa" w:w="3213"/>
            <w:shd w:val="clear" w:color="auto" w:fill="F2F8F4"/>
            <w:tcMar>
              <w:left w:w="80" w:type="dxa"/>
              <w:right w:w="80" w:type="dxa"/>
            </w:tcMar>
          </w:tcPr>
          <w:p>
            <w:pPr>
              <w:spacing w:before="40" w:after="40" w:line="264" w:lineRule="auto"/>
            </w:pPr>
            <w:r>
              <w:rPr>
                <w:rFonts w:ascii="Arial" w:hAnsi="Arial"/>
                <w:b/>
                <w:color w:val="006B46"/>
                <w:sz w:val="15"/>
              </w:rPr>
              <w:t>Prüfpunkt</w:t>
            </w:r>
          </w:p>
        </w:tc>
        <w:tc>
          <w:tcPr>
            <w:tcW w:type="dxa" w:w="6425"/>
            <w:shd w:val="clear" w:color="auto" w:fill="F2F8F4"/>
            <w:tcMar>
              <w:left w:w="80" w:type="dxa"/>
              <w:right w:w="80" w:type="dxa"/>
            </w:tcMar>
          </w:tcPr>
          <w:p>
            <w:pPr>
              <w:spacing w:before="40" w:after="40" w:line="264" w:lineRule="auto"/>
            </w:pPr>
            <w:r>
              <w:rPr>
                <w:rFonts w:ascii="Arial" w:hAnsi="Arial"/>
                <w:b/>
                <w:color w:val="006B46"/>
                <w:sz w:val="15"/>
              </w:rPr>
              <w:t>Worauf es ankommt</w:t>
            </w:r>
          </w:p>
        </w:tc>
      </w:tr>
      <w:tr>
        <w:tc>
          <w:tcPr>
            <w:tcW w:type="dxa" w:w="3213"/>
            <w:tcMar>
              <w:left w:w="80" w:type="dxa"/>
              <w:right w:w="80" w:type="dxa"/>
            </w:tcMar>
          </w:tcPr>
          <w:p>
            <w:pPr>
              <w:spacing w:before="40" w:after="40" w:line="264" w:lineRule="auto"/>
            </w:pPr>
            <w:r>
              <w:rPr>
                <w:rFonts w:ascii="Arial" w:hAnsi="Arial"/>
                <w:b/>
                <w:color w:val="111111"/>
                <w:sz w:val="15"/>
              </w:rPr>
              <w:t>Module und Inhalte</w:t>
            </w:r>
          </w:p>
        </w:tc>
        <w:tc>
          <w:tcPr>
            <w:tcW w:type="dxa" w:w="6425"/>
            <w:tcMar>
              <w:left w:w="80" w:type="dxa"/>
              <w:right w:w="80" w:type="dxa"/>
            </w:tcMar>
          </w:tcPr>
          <w:p>
            <w:pPr>
              <w:spacing w:before="40" w:after="40" w:line="264" w:lineRule="auto"/>
            </w:pPr>
            <w:r>
              <w:rPr>
                <w:rFonts w:ascii="Arial" w:hAnsi="Arial"/>
                <w:b w:val="0"/>
                <w:color w:val="111111"/>
                <w:sz w:val="15"/>
              </w:rPr>
              <w:t>Modulhandbuch der konkreten Hochschule lesen, nicht die Werbeseite. Welche Pflichtmodule stehen in den ersten drei Semestern, welche Wahlbereiche gibt es später?</w:t>
            </w:r>
          </w:p>
        </w:tc>
      </w:tr>
      <w:tr>
        <w:tc>
          <w:tcPr>
            <w:tcW w:type="dxa" w:w="3213"/>
            <w:tcMar>
              <w:left w:w="80" w:type="dxa"/>
              <w:right w:w="80" w:type="dxa"/>
            </w:tcMar>
          </w:tcPr>
          <w:p>
            <w:pPr>
              <w:spacing w:before="40" w:after="40" w:line="264" w:lineRule="auto"/>
            </w:pPr>
            <w:r>
              <w:rPr>
                <w:rFonts w:ascii="Arial" w:hAnsi="Arial"/>
                <w:b/>
                <w:color w:val="111111"/>
                <w:sz w:val="15"/>
              </w:rPr>
              <w:t>Mathematik und Methoden</w:t>
            </w:r>
          </w:p>
        </w:tc>
        <w:tc>
          <w:tcPr>
            <w:tcW w:type="dxa" w:w="6425"/>
            <w:tcMar>
              <w:left w:w="80" w:type="dxa"/>
              <w:right w:w="80" w:type="dxa"/>
            </w:tcMar>
          </w:tcPr>
          <w:p>
            <w:pPr>
              <w:spacing w:before="40" w:after="40" w:line="264" w:lineRule="auto"/>
            </w:pPr>
            <w:r>
              <w:rPr>
                <w:rFonts w:ascii="Arial" w:hAnsi="Arial"/>
                <w:b w:val="0"/>
                <w:color w:val="111111"/>
                <w:sz w:val="15"/>
              </w:rPr>
              <w:t>Wie viele Module sind Statistik, Mathematik, Programmieren oder empirische Methoden? Diese Module sind in vielen Fächern die häufigste Abbruchursache.</w:t>
            </w:r>
          </w:p>
        </w:tc>
      </w:tr>
      <w:tr>
        <w:tc>
          <w:tcPr>
            <w:tcW w:type="dxa" w:w="3213"/>
            <w:tcMar>
              <w:left w:w="80" w:type="dxa"/>
              <w:right w:w="80" w:type="dxa"/>
            </w:tcMar>
          </w:tcPr>
          <w:p>
            <w:pPr>
              <w:spacing w:before="40" w:after="40" w:line="264" w:lineRule="auto"/>
            </w:pPr>
            <w:r>
              <w:rPr>
                <w:rFonts w:ascii="Arial" w:hAnsi="Arial"/>
                <w:b/>
                <w:color w:val="111111"/>
                <w:sz w:val="15"/>
              </w:rPr>
              <w:t>Zugang und Auswahl</w:t>
            </w:r>
          </w:p>
        </w:tc>
        <w:tc>
          <w:tcPr>
            <w:tcW w:type="dxa" w:w="6425"/>
            <w:tcMar>
              <w:left w:w="80" w:type="dxa"/>
              <w:right w:w="80" w:type="dxa"/>
            </w:tcMar>
          </w:tcPr>
          <w:p>
            <w:pPr>
              <w:spacing w:before="40" w:after="40" w:line="264" w:lineRule="auto"/>
            </w:pPr>
            <w:r>
              <w:rPr>
                <w:rFonts w:ascii="Arial" w:hAnsi="Arial"/>
                <w:b w:val="0"/>
                <w:color w:val="111111"/>
                <w:sz w:val="15"/>
              </w:rPr>
              <w:t>Zulassungsfrei, örtlicher Numerus clausus, Eignungstest oder Mappe? Die Zulassungsart entscheidet über den Bewerbungsweg und über den Zeitplan.</w:t>
            </w:r>
          </w:p>
        </w:tc>
      </w:tr>
      <w:tr>
        <w:tc>
          <w:tcPr>
            <w:tcW w:type="dxa" w:w="3213"/>
            <w:tcMar>
              <w:left w:w="80" w:type="dxa"/>
              <w:right w:w="80" w:type="dxa"/>
            </w:tcMar>
          </w:tcPr>
          <w:p>
            <w:pPr>
              <w:spacing w:before="40" w:after="40" w:line="264" w:lineRule="auto"/>
            </w:pPr>
            <w:r>
              <w:rPr>
                <w:rFonts w:ascii="Arial" w:hAnsi="Arial"/>
                <w:b/>
                <w:color w:val="111111"/>
                <w:sz w:val="15"/>
              </w:rPr>
              <w:t>Praxisanteil</w:t>
            </w:r>
          </w:p>
        </w:tc>
        <w:tc>
          <w:tcPr>
            <w:tcW w:type="dxa" w:w="6425"/>
            <w:tcMar>
              <w:left w:w="80" w:type="dxa"/>
              <w:right w:w="80" w:type="dxa"/>
            </w:tcMar>
          </w:tcPr>
          <w:p>
            <w:pPr>
              <w:spacing w:before="40" w:after="40" w:line="264" w:lineRule="auto"/>
            </w:pPr>
            <w:r>
              <w:rPr>
                <w:rFonts w:ascii="Arial" w:hAnsi="Arial"/>
                <w:b w:val="0"/>
                <w:color w:val="111111"/>
                <w:sz w:val="15"/>
              </w:rPr>
              <w:t>Pflichtpraktikum, Praxissemester, Labor, Projektarbeit: wie viel Praxis steckt im Plan und wer besorgt den Platz?</w:t>
            </w:r>
          </w:p>
        </w:tc>
      </w:tr>
      <w:tr>
        <w:tc>
          <w:tcPr>
            <w:tcW w:type="dxa" w:w="3213"/>
            <w:tcMar>
              <w:left w:w="80" w:type="dxa"/>
              <w:right w:w="80" w:type="dxa"/>
            </w:tcMar>
          </w:tcPr>
          <w:p>
            <w:pPr>
              <w:spacing w:before="40" w:after="40" w:line="264" w:lineRule="auto"/>
            </w:pPr>
            <w:r>
              <w:rPr>
                <w:rFonts w:ascii="Arial" w:hAnsi="Arial"/>
                <w:b/>
                <w:color w:val="111111"/>
                <w:sz w:val="15"/>
              </w:rPr>
              <w:t>Prüfungsformen</w:t>
            </w:r>
          </w:p>
        </w:tc>
        <w:tc>
          <w:tcPr>
            <w:tcW w:type="dxa" w:w="6425"/>
            <w:tcMar>
              <w:left w:w="80" w:type="dxa"/>
              <w:right w:w="80" w:type="dxa"/>
            </w:tcMar>
          </w:tcPr>
          <w:p>
            <w:pPr>
              <w:spacing w:before="40" w:after="40" w:line="264" w:lineRule="auto"/>
            </w:pPr>
            <w:r>
              <w:rPr>
                <w:rFonts w:ascii="Arial" w:hAnsi="Arial"/>
                <w:b w:val="0"/>
                <w:color w:val="111111"/>
                <w:sz w:val="15"/>
              </w:rPr>
              <w:t>Klausurlastig, Hausarbeiten, mündliche Prüfungen, Testate? Die Prüfungsform passt zu den eigenen Stärken oder eben nicht.</w:t>
            </w:r>
          </w:p>
        </w:tc>
      </w:tr>
      <w:tr>
        <w:tc>
          <w:tcPr>
            <w:tcW w:type="dxa" w:w="3213"/>
            <w:tcMar>
              <w:left w:w="80" w:type="dxa"/>
              <w:right w:w="80" w:type="dxa"/>
            </w:tcMar>
          </w:tcPr>
          <w:p>
            <w:pPr>
              <w:spacing w:before="40" w:after="40" w:line="264" w:lineRule="auto"/>
            </w:pPr>
            <w:r>
              <w:rPr>
                <w:rFonts w:ascii="Arial" w:hAnsi="Arial"/>
                <w:b/>
                <w:color w:val="111111"/>
                <w:sz w:val="15"/>
              </w:rPr>
              <w:t>Berufsbilder</w:t>
            </w:r>
          </w:p>
        </w:tc>
        <w:tc>
          <w:tcPr>
            <w:tcW w:type="dxa" w:w="6425"/>
            <w:tcMar>
              <w:left w:w="80" w:type="dxa"/>
              <w:right w:w="80" w:type="dxa"/>
            </w:tcMar>
          </w:tcPr>
          <w:p>
            <w:pPr>
              <w:spacing w:before="40" w:after="40" w:line="264" w:lineRule="auto"/>
            </w:pPr>
            <w:r>
              <w:rPr>
                <w:rFonts w:ascii="Arial" w:hAnsi="Arial"/>
                <w:b w:val="0"/>
                <w:color w:val="111111"/>
                <w:sz w:val="15"/>
              </w:rPr>
              <w:t>Welche Tätigkeiten machen Absolventinnen und Absolventen wirklich, nicht welche wären denkbar? Stellenanzeigen mit dem Abschluss im Titel sind die ehrlichste Quelle.</w:t>
            </w:r>
          </w:p>
        </w:tc>
      </w:tr>
      <w:tr>
        <w:tc>
          <w:tcPr>
            <w:tcW w:type="dxa" w:w="3213"/>
            <w:tcMar>
              <w:left w:w="80" w:type="dxa"/>
              <w:right w:w="80" w:type="dxa"/>
            </w:tcMar>
          </w:tcPr>
          <w:p>
            <w:pPr>
              <w:spacing w:before="40" w:after="40" w:line="264" w:lineRule="auto"/>
            </w:pPr>
            <w:r>
              <w:rPr>
                <w:rFonts w:ascii="Arial" w:hAnsi="Arial"/>
                <w:b/>
                <w:color w:val="111111"/>
                <w:sz w:val="15"/>
              </w:rPr>
              <w:t>Wechsel und Anschluss</w:t>
            </w:r>
          </w:p>
        </w:tc>
        <w:tc>
          <w:tcPr>
            <w:tcW w:type="dxa" w:w="6425"/>
            <w:tcMar>
              <w:left w:w="80" w:type="dxa"/>
              <w:right w:w="80" w:type="dxa"/>
            </w:tcMar>
          </w:tcPr>
          <w:p>
            <w:pPr>
              <w:spacing w:before="40" w:after="40" w:line="264" w:lineRule="auto"/>
            </w:pPr>
            <w:r>
              <w:rPr>
                <w:rFonts w:ascii="Arial" w:hAnsi="Arial"/>
                <w:b w:val="0"/>
                <w:color w:val="111111"/>
                <w:sz w:val="15"/>
              </w:rPr>
              <w:t>Wie viele Leistungen wären bei einem Wechsel anrechenbar, welche Masterprogramme setzen dieses Bachelorfach voraus?</w:t>
            </w:r>
          </w:p>
        </w:tc>
      </w:tr>
    </w:tbl>
    <w:p>
      <w:pPr>
        <w:spacing w:before="0" w:after="120" w:line="276" w:lineRule="auto"/>
      </w:pPr>
    </w:p>
    <w:p>
      <w:pPr>
        <w:spacing w:before="280" w:after="120" w:line="276" w:lineRule="auto"/>
      </w:pPr>
      <w:r>
        <w:rPr>
          <w:rFonts w:ascii="Arial" w:hAnsi="Arial"/>
          <w:b/>
          <w:i w:val="0"/>
          <w:color w:val="111111"/>
          <w:sz w:val="24"/>
        </w:rPr>
        <w:t>Zwei Fächer nebeneinander: zum Ausfüllen</w:t>
      </w:r>
    </w:p>
    <w:tbl>
      <w:tblPr>
        <w:tblW w:type="auto" w:w="0"/>
        <w:jc w:val="left"/>
        <w:tblLayout w:type="fixed"/>
        <w:tblLook w:firstColumn="1" w:firstRow="1" w:lastColumn="0" w:lastRow="0" w:noHBand="0" w:noVBand="1" w:val="04A0"/>
        <w:tblLayout w:type="fixed"/>
        <w:tblBorders>
          <w:top w:val="single" w:sz="4" w:space="0" w:color="BBBBBB"/>
          <w:left w:val="single" w:sz="4" w:space="0" w:color="BBBBBB"/>
          <w:bottom w:val="single" w:sz="4" w:space="0" w:color="BBBBBB"/>
          <w:right w:val="single" w:sz="4" w:space="0" w:color="BBBBBB"/>
          <w:insideH w:val="single" w:sz="4" w:space="0" w:color="BBBBBB"/>
          <w:insideV w:val="single" w:sz="4" w:space="0" w:color="BBBBBB"/>
        </w:tblBorders>
      </w:tblPr>
      <w:tblGrid>
        <w:gridCol w:w="4016"/>
        <w:gridCol w:w="2811"/>
        <w:gridCol w:w="2811"/>
      </w:tblGrid>
      <w:tr>
        <w:tc>
          <w:tcPr>
            <w:tcW w:type="dxa" w:w="4016"/>
            <w:shd w:val="clear" w:color="auto" w:fill="F2F8F4"/>
            <w:tcMar>
              <w:left w:w="80" w:type="dxa"/>
              <w:right w:w="80" w:type="dxa"/>
            </w:tcMar>
          </w:tcPr>
          <w:p>
            <w:pPr>
              <w:spacing w:before="40" w:after="40" w:line="264" w:lineRule="auto"/>
            </w:pPr>
            <w:r>
              <w:rPr>
                <w:rFonts w:ascii="Arial" w:hAnsi="Arial"/>
                <w:b/>
                <w:color w:val="006B46"/>
                <w:sz w:val="15"/>
              </w:rPr>
              <w:t>Frage</w:t>
            </w:r>
          </w:p>
        </w:tc>
        <w:tc>
          <w:tcPr>
            <w:tcW w:type="dxa" w:w="2811"/>
            <w:shd w:val="clear" w:color="auto" w:fill="F2F8F4"/>
            <w:tcMar>
              <w:left w:w="80" w:type="dxa"/>
              <w:right w:w="80" w:type="dxa"/>
            </w:tcMar>
          </w:tcPr>
          <w:p>
            <w:pPr>
              <w:spacing w:before="40" w:after="40" w:line="264" w:lineRule="auto"/>
            </w:pPr>
            <w:r>
              <w:rPr>
                <w:rFonts w:ascii="Arial" w:hAnsi="Arial"/>
                <w:b/>
                <w:color w:val="006B46"/>
                <w:sz w:val="15"/>
              </w:rPr>
              <w:t>Fach A</w:t>
            </w:r>
          </w:p>
        </w:tc>
        <w:tc>
          <w:tcPr>
            <w:tcW w:type="dxa" w:w="2811"/>
            <w:shd w:val="clear" w:color="auto" w:fill="F2F8F4"/>
            <w:tcMar>
              <w:left w:w="80" w:type="dxa"/>
              <w:right w:w="80" w:type="dxa"/>
            </w:tcMar>
          </w:tcPr>
          <w:p>
            <w:pPr>
              <w:spacing w:before="40" w:after="40" w:line="264" w:lineRule="auto"/>
            </w:pPr>
            <w:r>
              <w:rPr>
                <w:rFonts w:ascii="Arial" w:hAnsi="Arial"/>
                <w:b/>
                <w:color w:val="006B46"/>
                <w:sz w:val="15"/>
              </w:rPr>
              <w:t>Fach B</w:t>
            </w:r>
          </w:p>
        </w:tc>
      </w:tr>
      <w:tr>
        <w:tc>
          <w:tcPr>
            <w:tcW w:type="dxa" w:w="4016"/>
            <w:tcMar>
              <w:left w:w="80" w:type="dxa"/>
              <w:right w:w="80" w:type="dxa"/>
            </w:tcMar>
          </w:tcPr>
          <w:p>
            <w:pPr>
              <w:spacing w:before="40" w:after="40" w:line="264" w:lineRule="auto"/>
            </w:pPr>
            <w:r>
              <w:rPr>
                <w:rFonts w:ascii="Arial" w:hAnsi="Arial"/>
                <w:b/>
                <w:color w:val="111111"/>
                <w:sz w:val="15"/>
              </w:rPr>
              <w:t>Pflichtmodule Semester 1 bis 3</w:t>
            </w:r>
          </w:p>
        </w:tc>
        <w:tc>
          <w:tcPr>
            <w:tcW w:type="dxa" w:w="2811"/>
            <w:tcMar>
              <w:left w:w="80" w:type="dxa"/>
              <w:right w:w="80" w:type="dxa"/>
            </w:tcMar>
          </w:tcPr>
          <w:p>
            <w:pPr>
              <w:spacing w:before="40" w:after="40" w:line="264" w:lineRule="auto"/>
            </w:pPr>
            <w:r>
              <w:rPr>
                <w:rFonts w:ascii="Arial" w:hAnsi="Arial"/>
                <w:b w:val="0"/>
                <w:color w:val="111111"/>
                <w:sz w:val="15"/>
              </w:rPr>
            </w:r>
          </w:p>
        </w:tc>
        <w:tc>
          <w:tcPr>
            <w:tcW w:type="dxa" w:w="2811"/>
            <w:tcMar>
              <w:left w:w="80" w:type="dxa"/>
              <w:right w:w="80" w:type="dxa"/>
            </w:tcMar>
          </w:tcPr>
          <w:p>
            <w:pPr>
              <w:spacing w:before="40" w:after="40" w:line="264" w:lineRule="auto"/>
            </w:pPr>
            <w:r>
              <w:rPr>
                <w:rFonts w:ascii="Arial" w:hAnsi="Arial"/>
                <w:b w:val="0"/>
                <w:color w:val="111111"/>
                <w:sz w:val="15"/>
              </w:rPr>
            </w:r>
          </w:p>
        </w:tc>
      </w:tr>
      <w:tr>
        <w:tc>
          <w:tcPr>
            <w:tcW w:type="dxa" w:w="4016"/>
            <w:tcMar>
              <w:left w:w="80" w:type="dxa"/>
              <w:right w:w="80" w:type="dxa"/>
            </w:tcMar>
          </w:tcPr>
          <w:p>
            <w:pPr>
              <w:spacing w:before="40" w:after="40" w:line="264" w:lineRule="auto"/>
            </w:pPr>
            <w:r>
              <w:rPr>
                <w:rFonts w:ascii="Arial" w:hAnsi="Arial"/>
                <w:b/>
                <w:color w:val="111111"/>
                <w:sz w:val="15"/>
              </w:rPr>
              <w:t>Zahl der Mathematik- und Methodenmodule</w:t>
            </w:r>
          </w:p>
        </w:tc>
        <w:tc>
          <w:tcPr>
            <w:tcW w:type="dxa" w:w="2811"/>
            <w:tcMar>
              <w:left w:w="80" w:type="dxa"/>
              <w:right w:w="80" w:type="dxa"/>
            </w:tcMar>
          </w:tcPr>
          <w:p>
            <w:pPr>
              <w:spacing w:before="40" w:after="40" w:line="264" w:lineRule="auto"/>
            </w:pPr>
            <w:r>
              <w:rPr>
                <w:rFonts w:ascii="Arial" w:hAnsi="Arial"/>
                <w:b w:val="0"/>
                <w:color w:val="111111"/>
                <w:sz w:val="15"/>
              </w:rPr>
            </w:r>
          </w:p>
        </w:tc>
        <w:tc>
          <w:tcPr>
            <w:tcW w:type="dxa" w:w="2811"/>
            <w:tcMar>
              <w:left w:w="80" w:type="dxa"/>
              <w:right w:w="80" w:type="dxa"/>
            </w:tcMar>
          </w:tcPr>
          <w:p>
            <w:pPr>
              <w:spacing w:before="40" w:after="40" w:line="264" w:lineRule="auto"/>
            </w:pPr>
            <w:r>
              <w:rPr>
                <w:rFonts w:ascii="Arial" w:hAnsi="Arial"/>
                <w:b w:val="0"/>
                <w:color w:val="111111"/>
                <w:sz w:val="15"/>
              </w:rPr>
            </w:r>
          </w:p>
        </w:tc>
      </w:tr>
      <w:tr>
        <w:tc>
          <w:tcPr>
            <w:tcW w:type="dxa" w:w="4016"/>
            <w:tcMar>
              <w:left w:w="80" w:type="dxa"/>
              <w:right w:w="80" w:type="dxa"/>
            </w:tcMar>
          </w:tcPr>
          <w:p>
            <w:pPr>
              <w:spacing w:before="40" w:after="40" w:line="264" w:lineRule="auto"/>
            </w:pPr>
            <w:r>
              <w:rPr>
                <w:rFonts w:ascii="Arial" w:hAnsi="Arial"/>
                <w:b/>
                <w:color w:val="111111"/>
                <w:sz w:val="15"/>
              </w:rPr>
              <w:t>Zulassungsart und Frist</w:t>
            </w:r>
          </w:p>
        </w:tc>
        <w:tc>
          <w:tcPr>
            <w:tcW w:type="dxa" w:w="2811"/>
            <w:tcMar>
              <w:left w:w="80" w:type="dxa"/>
              <w:right w:w="80" w:type="dxa"/>
            </w:tcMar>
          </w:tcPr>
          <w:p>
            <w:pPr>
              <w:spacing w:before="40" w:after="40" w:line="264" w:lineRule="auto"/>
            </w:pPr>
            <w:r>
              <w:rPr>
                <w:rFonts w:ascii="Arial" w:hAnsi="Arial"/>
                <w:b w:val="0"/>
                <w:color w:val="111111"/>
                <w:sz w:val="15"/>
              </w:rPr>
            </w:r>
          </w:p>
        </w:tc>
        <w:tc>
          <w:tcPr>
            <w:tcW w:type="dxa" w:w="2811"/>
            <w:tcMar>
              <w:left w:w="80" w:type="dxa"/>
              <w:right w:w="80" w:type="dxa"/>
            </w:tcMar>
          </w:tcPr>
          <w:p>
            <w:pPr>
              <w:spacing w:before="40" w:after="40" w:line="264" w:lineRule="auto"/>
            </w:pPr>
            <w:r>
              <w:rPr>
                <w:rFonts w:ascii="Arial" w:hAnsi="Arial"/>
                <w:b w:val="0"/>
                <w:color w:val="111111"/>
                <w:sz w:val="15"/>
              </w:rPr>
            </w:r>
          </w:p>
        </w:tc>
      </w:tr>
      <w:tr>
        <w:tc>
          <w:tcPr>
            <w:tcW w:type="dxa" w:w="4016"/>
            <w:tcMar>
              <w:left w:w="80" w:type="dxa"/>
              <w:right w:w="80" w:type="dxa"/>
            </w:tcMar>
          </w:tcPr>
          <w:p>
            <w:pPr>
              <w:spacing w:before="40" w:after="40" w:line="264" w:lineRule="auto"/>
            </w:pPr>
            <w:r>
              <w:rPr>
                <w:rFonts w:ascii="Arial" w:hAnsi="Arial"/>
                <w:b/>
                <w:color w:val="111111"/>
                <w:sz w:val="15"/>
              </w:rPr>
              <w:t>Praxisanteil im Plan</w:t>
            </w:r>
          </w:p>
        </w:tc>
        <w:tc>
          <w:tcPr>
            <w:tcW w:type="dxa" w:w="2811"/>
            <w:tcMar>
              <w:left w:w="80" w:type="dxa"/>
              <w:right w:w="80" w:type="dxa"/>
            </w:tcMar>
          </w:tcPr>
          <w:p>
            <w:pPr>
              <w:spacing w:before="40" w:after="40" w:line="264" w:lineRule="auto"/>
            </w:pPr>
            <w:r>
              <w:rPr>
                <w:rFonts w:ascii="Arial" w:hAnsi="Arial"/>
                <w:b w:val="0"/>
                <w:color w:val="111111"/>
                <w:sz w:val="15"/>
              </w:rPr>
            </w:r>
          </w:p>
        </w:tc>
        <w:tc>
          <w:tcPr>
            <w:tcW w:type="dxa" w:w="2811"/>
            <w:tcMar>
              <w:left w:w="80" w:type="dxa"/>
              <w:right w:w="80" w:type="dxa"/>
            </w:tcMar>
          </w:tcPr>
          <w:p>
            <w:pPr>
              <w:spacing w:before="40" w:after="40" w:line="264" w:lineRule="auto"/>
            </w:pPr>
            <w:r>
              <w:rPr>
                <w:rFonts w:ascii="Arial" w:hAnsi="Arial"/>
                <w:b w:val="0"/>
                <w:color w:val="111111"/>
                <w:sz w:val="15"/>
              </w:rPr>
            </w:r>
          </w:p>
        </w:tc>
      </w:tr>
      <w:tr>
        <w:tc>
          <w:tcPr>
            <w:tcW w:type="dxa" w:w="4016"/>
            <w:tcMar>
              <w:left w:w="80" w:type="dxa"/>
              <w:right w:w="80" w:type="dxa"/>
            </w:tcMar>
          </w:tcPr>
          <w:p>
            <w:pPr>
              <w:spacing w:before="40" w:after="40" w:line="264" w:lineRule="auto"/>
            </w:pPr>
            <w:r>
              <w:rPr>
                <w:rFonts w:ascii="Arial" w:hAnsi="Arial"/>
                <w:b/>
                <w:color w:val="111111"/>
                <w:sz w:val="15"/>
              </w:rPr>
              <w:t>Häufigste Prüfungsform</w:t>
            </w:r>
          </w:p>
        </w:tc>
        <w:tc>
          <w:tcPr>
            <w:tcW w:type="dxa" w:w="2811"/>
            <w:tcMar>
              <w:left w:w="80" w:type="dxa"/>
              <w:right w:w="80" w:type="dxa"/>
            </w:tcMar>
          </w:tcPr>
          <w:p>
            <w:pPr>
              <w:spacing w:before="40" w:after="40" w:line="264" w:lineRule="auto"/>
            </w:pPr>
            <w:r>
              <w:rPr>
                <w:rFonts w:ascii="Arial" w:hAnsi="Arial"/>
                <w:b w:val="0"/>
                <w:color w:val="111111"/>
                <w:sz w:val="15"/>
              </w:rPr>
            </w:r>
          </w:p>
        </w:tc>
        <w:tc>
          <w:tcPr>
            <w:tcW w:type="dxa" w:w="2811"/>
            <w:tcMar>
              <w:left w:w="80" w:type="dxa"/>
              <w:right w:w="80" w:type="dxa"/>
            </w:tcMar>
          </w:tcPr>
          <w:p>
            <w:pPr>
              <w:spacing w:before="40" w:after="40" w:line="264" w:lineRule="auto"/>
            </w:pPr>
            <w:r>
              <w:rPr>
                <w:rFonts w:ascii="Arial" w:hAnsi="Arial"/>
                <w:b w:val="0"/>
                <w:color w:val="111111"/>
                <w:sz w:val="15"/>
              </w:rPr>
            </w:r>
          </w:p>
        </w:tc>
      </w:tr>
      <w:tr>
        <w:tc>
          <w:tcPr>
            <w:tcW w:type="dxa" w:w="4016"/>
            <w:tcMar>
              <w:left w:w="80" w:type="dxa"/>
              <w:right w:w="80" w:type="dxa"/>
            </w:tcMar>
          </w:tcPr>
          <w:p>
            <w:pPr>
              <w:spacing w:before="40" w:after="40" w:line="264" w:lineRule="auto"/>
            </w:pPr>
            <w:r>
              <w:rPr>
                <w:rFonts w:ascii="Arial" w:hAnsi="Arial"/>
                <w:b/>
                <w:color w:val="111111"/>
                <w:sz w:val="15"/>
              </w:rPr>
              <w:t>Zwei echte Stellenanzeigen dazu</w:t>
            </w:r>
          </w:p>
        </w:tc>
        <w:tc>
          <w:tcPr>
            <w:tcW w:type="dxa" w:w="2811"/>
            <w:tcMar>
              <w:left w:w="80" w:type="dxa"/>
              <w:right w:w="80" w:type="dxa"/>
            </w:tcMar>
          </w:tcPr>
          <w:p>
            <w:pPr>
              <w:spacing w:before="40" w:after="40" w:line="264" w:lineRule="auto"/>
            </w:pPr>
            <w:r>
              <w:rPr>
                <w:rFonts w:ascii="Arial" w:hAnsi="Arial"/>
                <w:b w:val="0"/>
                <w:color w:val="111111"/>
                <w:sz w:val="15"/>
              </w:rPr>
            </w:r>
          </w:p>
        </w:tc>
        <w:tc>
          <w:tcPr>
            <w:tcW w:type="dxa" w:w="2811"/>
            <w:tcMar>
              <w:left w:w="80" w:type="dxa"/>
              <w:right w:w="80" w:type="dxa"/>
            </w:tcMar>
          </w:tcPr>
          <w:p>
            <w:pPr>
              <w:spacing w:before="40" w:after="40" w:line="264" w:lineRule="auto"/>
            </w:pPr>
            <w:r>
              <w:rPr>
                <w:rFonts w:ascii="Arial" w:hAnsi="Arial"/>
                <w:b w:val="0"/>
                <w:color w:val="111111"/>
                <w:sz w:val="15"/>
              </w:rPr>
            </w:r>
          </w:p>
        </w:tc>
      </w:tr>
      <w:tr>
        <w:tc>
          <w:tcPr>
            <w:tcW w:type="dxa" w:w="4016"/>
            <w:tcMar>
              <w:left w:w="80" w:type="dxa"/>
              <w:right w:w="80" w:type="dxa"/>
            </w:tcMar>
          </w:tcPr>
          <w:p>
            <w:pPr>
              <w:spacing w:before="40" w:after="40" w:line="264" w:lineRule="auto"/>
            </w:pPr>
            <w:r>
              <w:rPr>
                <w:rFonts w:ascii="Arial" w:hAnsi="Arial"/>
                <w:b/>
                <w:color w:val="111111"/>
                <w:sz w:val="15"/>
              </w:rPr>
              <w:t>Was mich abschreckt</w:t>
            </w:r>
          </w:p>
        </w:tc>
        <w:tc>
          <w:tcPr>
            <w:tcW w:type="dxa" w:w="2811"/>
            <w:tcMar>
              <w:left w:w="80" w:type="dxa"/>
              <w:right w:w="80" w:type="dxa"/>
            </w:tcMar>
          </w:tcPr>
          <w:p>
            <w:pPr>
              <w:spacing w:before="40" w:after="40" w:line="264" w:lineRule="auto"/>
            </w:pPr>
            <w:r>
              <w:rPr>
                <w:rFonts w:ascii="Arial" w:hAnsi="Arial"/>
                <w:b w:val="0"/>
                <w:color w:val="111111"/>
                <w:sz w:val="15"/>
              </w:rPr>
            </w:r>
          </w:p>
        </w:tc>
        <w:tc>
          <w:tcPr>
            <w:tcW w:type="dxa" w:w="2811"/>
            <w:tcMar>
              <w:left w:w="80" w:type="dxa"/>
              <w:right w:w="80" w:type="dxa"/>
            </w:tcMar>
          </w:tcPr>
          <w:p>
            <w:pPr>
              <w:spacing w:before="40" w:after="40" w:line="264" w:lineRule="auto"/>
            </w:pPr>
            <w:r>
              <w:rPr>
                <w:rFonts w:ascii="Arial" w:hAnsi="Arial"/>
                <w:b w:val="0"/>
                <w:color w:val="111111"/>
                <w:sz w:val="15"/>
              </w:rPr>
            </w:r>
          </w:p>
        </w:tc>
      </w:tr>
    </w:tbl>
    <w:p>
      <w:pPr>
        <w:spacing w:before="0" w:after="120" w:line="276" w:lineRule="auto"/>
      </w:pPr>
    </w:p>
    <w:p>
      <w:r>
        <w:br w:type="page"/>
      </w:r>
    </w:p>
    <w:p>
      <w:pPr>
        <w:spacing w:before="280" w:after="120" w:line="276" w:lineRule="auto"/>
      </w:pPr>
      <w:r>
        <w:rPr>
          <w:rFonts w:ascii="Arial" w:hAnsi="Arial"/>
          <w:b/>
          <w:i w:val="0"/>
          <w:color w:val="111111"/>
          <w:sz w:val="24"/>
        </w:rPr>
        <w:t>Woher belastbare Antworten kommen</w:t>
      </w:r>
    </w:p>
    <w:p>
      <w:pPr>
        <w:spacing w:before="0" w:after="60" w:line="276" w:lineRule="auto"/>
        <w:ind w:left="340" w:hanging="340"/>
      </w:pPr>
      <w:r>
        <w:rPr>
          <w:color w:val="00A85A"/>
        </w:rPr>
        <w:t xml:space="preserve">▪  </w:t>
      </w:r>
      <w:r>
        <w:rPr>
          <w:rFonts w:ascii="Arial" w:hAnsi="Arial"/>
          <w:sz w:val="22"/>
        </w:rPr>
        <w:t>Modulhandbuch und Studienverlaufsplan: stehen frei auf der Seite des Fachbereichs und sind die einzige verbindliche Inhaltsangabe.</w:t>
      </w:r>
    </w:p>
    <w:p>
      <w:pPr>
        <w:spacing w:before="0" w:after="60" w:line="276" w:lineRule="auto"/>
        <w:ind w:left="340" w:hanging="340"/>
      </w:pPr>
      <w:r>
        <w:rPr>
          <w:color w:val="00A85A"/>
        </w:rPr>
        <w:t xml:space="preserve">▪  </w:t>
      </w:r>
      <w:r>
        <w:rPr>
          <w:rFonts w:ascii="Arial" w:hAnsi="Arial"/>
          <w:sz w:val="22"/>
        </w:rPr>
        <w:t>Prüfungsordnung: regelt Prüfungsformen, Wiederholungen und Fristen, oft in einer allgemeinen und einer fachspezifischen Fassung.</w:t>
      </w:r>
    </w:p>
    <w:p>
      <w:pPr>
        <w:spacing w:before="0" w:after="60" w:line="276" w:lineRule="auto"/>
        <w:ind w:left="340" w:hanging="340"/>
      </w:pPr>
      <w:r>
        <w:rPr>
          <w:color w:val="00A85A"/>
        </w:rPr>
        <w:t xml:space="preserve">▪  </w:t>
      </w:r>
      <w:r>
        <w:rPr>
          <w:rFonts w:ascii="Arial" w:hAnsi="Arial"/>
          <w:sz w:val="22"/>
        </w:rPr>
        <w:t>Zentrale Studienberatung für den formalen Teil, Fachstudienberatung für die Inhalte. Das sind zwei verschiedene Stellen.</w:t>
      </w:r>
    </w:p>
    <w:p>
      <w:pPr>
        <w:spacing w:before="0" w:after="60" w:line="276" w:lineRule="auto"/>
        <w:ind w:left="340" w:hanging="340"/>
      </w:pPr>
      <w:r>
        <w:rPr>
          <w:color w:val="00A85A"/>
        </w:rPr>
        <w:t xml:space="preserve">▪  </w:t>
      </w:r>
      <w:r>
        <w:rPr>
          <w:rFonts w:ascii="Arial" w:hAnsi="Arial"/>
          <w:sz w:val="22"/>
        </w:rPr>
        <w:t>Fachschaft des Fachbereichs: sagt, welche Module wirklich schwer sind und wie die Betreuung im Alltag aussieht.</w:t>
      </w:r>
    </w:p>
    <w:p>
      <w:pPr>
        <w:spacing w:before="0" w:after="60" w:line="276" w:lineRule="auto"/>
        <w:ind w:left="340" w:hanging="340"/>
      </w:pPr>
      <w:r>
        <w:rPr>
          <w:color w:val="00A85A"/>
        </w:rPr>
        <w:t xml:space="preserve">▪  </w:t>
      </w:r>
      <w:r>
        <w:rPr>
          <w:rFonts w:ascii="Arial" w:hAnsi="Arial"/>
          <w:sz w:val="22"/>
        </w:rPr>
        <w:t>Vorlesungsverzeichnis und offene Ringvorlesungen: eine Sitzung besuchen sagt mehr als zehn Broschüren.</w:t>
      </w:r>
    </w:p>
    <w:p>
      <w:pPr>
        <w:spacing w:before="0" w:after="60" w:line="276" w:lineRule="auto"/>
        <w:ind w:left="340" w:hanging="340"/>
      </w:pPr>
      <w:r>
        <w:rPr>
          <w:color w:val="00A85A"/>
        </w:rPr>
        <w:t xml:space="preserve">▪  </w:t>
      </w:r>
      <w:r>
        <w:rPr>
          <w:rFonts w:ascii="Arial" w:hAnsi="Arial"/>
          <w:sz w:val="22"/>
        </w:rPr>
        <w:t>Stellenanzeigen und Berufenet der Bundesagentur für Arbeit für die Frage, welche Tätigkeiten wirklich ausgeschrieben werden.</w:t>
      </w:r>
    </w:p>
    <w:p>
      <w:pPr>
        <w:spacing w:before="280" w:after="120" w:line="276" w:lineRule="auto"/>
      </w:pPr>
      <w:r>
        <w:rPr>
          <w:rFonts w:ascii="Arial" w:hAnsi="Arial"/>
          <w:b/>
          <w:i w:val="0"/>
          <w:color w:val="111111"/>
          <w:sz w:val="24"/>
        </w:rPr>
        <w:t>Denkfehler, die eine Wahl kippen</w:t>
      </w:r>
    </w:p>
    <w:tbl>
      <w:tblPr>
        <w:tblW w:type="auto" w:w="0"/>
        <w:jc w:val="left"/>
        <w:tblLayout w:type="fixed"/>
        <w:tblLook w:firstColumn="1" w:firstRow="1" w:lastColumn="0" w:lastRow="0" w:noHBand="0" w:noVBand="1" w:val="04A0"/>
        <w:tblLayout w:type="fixed"/>
        <w:tblBorders>
          <w:top w:val="single" w:sz="4" w:space="0" w:color="BBBBBB"/>
          <w:left w:val="single" w:sz="4" w:space="0" w:color="BBBBBB"/>
          <w:bottom w:val="single" w:sz="4" w:space="0" w:color="BBBBBB"/>
          <w:right w:val="single" w:sz="4" w:space="0" w:color="BBBBBB"/>
          <w:insideH w:val="single" w:sz="4" w:space="0" w:color="BBBBBB"/>
          <w:insideV w:val="single" w:sz="4" w:space="0" w:color="BBBBBB"/>
        </w:tblBorders>
      </w:tblPr>
      <w:tblGrid>
        <w:gridCol w:w="3614"/>
        <w:gridCol w:w="6024"/>
      </w:tblGrid>
      <w:tr>
        <w:tc>
          <w:tcPr>
            <w:tcW w:type="dxa" w:w="3614"/>
            <w:shd w:val="clear" w:color="auto" w:fill="F2F8F4"/>
            <w:tcMar>
              <w:left w:w="80" w:type="dxa"/>
              <w:right w:w="80" w:type="dxa"/>
            </w:tcMar>
          </w:tcPr>
          <w:p>
            <w:pPr>
              <w:spacing w:before="40" w:after="40" w:line="264" w:lineRule="auto"/>
            </w:pPr>
            <w:r>
              <w:rPr>
                <w:rFonts w:ascii="Arial" w:hAnsi="Arial"/>
                <w:b/>
                <w:color w:val="006B46"/>
                <w:sz w:val="15"/>
              </w:rPr>
              <w:t>Denkfehler</w:t>
            </w:r>
          </w:p>
        </w:tc>
        <w:tc>
          <w:tcPr>
            <w:tcW w:type="dxa" w:w="6024"/>
            <w:shd w:val="clear" w:color="auto" w:fill="F2F8F4"/>
            <w:tcMar>
              <w:left w:w="80" w:type="dxa"/>
              <w:right w:w="80" w:type="dxa"/>
            </w:tcMar>
          </w:tcPr>
          <w:p>
            <w:pPr>
              <w:spacing w:before="40" w:after="40" w:line="264" w:lineRule="auto"/>
            </w:pPr>
            <w:r>
              <w:rPr>
                <w:rFonts w:ascii="Arial" w:hAnsi="Arial"/>
                <w:b/>
                <w:color w:val="006B46"/>
                <w:sz w:val="15"/>
              </w:rPr>
              <w:t>Besser</w:t>
            </w:r>
          </w:p>
        </w:tc>
      </w:tr>
      <w:tr>
        <w:tc>
          <w:tcPr>
            <w:tcW w:type="dxa" w:w="3614"/>
            <w:tcMar>
              <w:left w:w="80" w:type="dxa"/>
              <w:right w:w="80" w:type="dxa"/>
            </w:tcMar>
          </w:tcPr>
          <w:p>
            <w:pPr>
              <w:spacing w:before="40" w:after="40" w:line="264" w:lineRule="auto"/>
            </w:pPr>
            <w:r>
              <w:rPr>
                <w:rFonts w:ascii="Arial" w:hAnsi="Arial"/>
                <w:b/>
                <w:color w:val="111111"/>
                <w:sz w:val="15"/>
              </w:rPr>
              <w:t>Nach dem Fachnamen entscheiden</w:t>
            </w:r>
          </w:p>
        </w:tc>
        <w:tc>
          <w:tcPr>
            <w:tcW w:type="dxa" w:w="6024"/>
            <w:tcMar>
              <w:left w:w="80" w:type="dxa"/>
              <w:right w:w="80" w:type="dxa"/>
            </w:tcMar>
          </w:tcPr>
          <w:p>
            <w:pPr>
              <w:spacing w:before="40" w:after="40" w:line="264" w:lineRule="auto"/>
            </w:pPr>
            <w:r>
              <w:rPr>
                <w:rFonts w:ascii="Arial" w:hAnsi="Arial"/>
                <w:b w:val="0"/>
                <w:color w:val="111111"/>
                <w:sz w:val="15"/>
              </w:rPr>
              <w:t>Zwei Modulhandbücher nebeneinanderlegen und die Pflichtmodule zählen.</w:t>
            </w:r>
          </w:p>
        </w:tc>
      </w:tr>
      <w:tr>
        <w:tc>
          <w:tcPr>
            <w:tcW w:type="dxa" w:w="3614"/>
            <w:tcMar>
              <w:left w:w="80" w:type="dxa"/>
              <w:right w:w="80" w:type="dxa"/>
            </w:tcMar>
          </w:tcPr>
          <w:p>
            <w:pPr>
              <w:spacing w:before="40" w:after="40" w:line="264" w:lineRule="auto"/>
            </w:pPr>
            <w:r>
              <w:rPr>
                <w:rFonts w:ascii="Arial" w:hAnsi="Arial"/>
                <w:b/>
                <w:color w:val="111111"/>
                <w:sz w:val="15"/>
              </w:rPr>
              <w:t>Nur auf den Numerus clausus schauen</w:t>
            </w:r>
          </w:p>
        </w:tc>
        <w:tc>
          <w:tcPr>
            <w:tcW w:type="dxa" w:w="6024"/>
            <w:tcMar>
              <w:left w:w="80" w:type="dxa"/>
              <w:right w:w="80" w:type="dxa"/>
            </w:tcMar>
          </w:tcPr>
          <w:p>
            <w:pPr>
              <w:spacing w:before="40" w:after="40" w:line="264" w:lineRule="auto"/>
            </w:pPr>
            <w:r>
              <w:rPr>
                <w:rFonts w:ascii="Arial" w:hAnsi="Arial"/>
                <w:b w:val="0"/>
                <w:color w:val="111111"/>
                <w:sz w:val="15"/>
              </w:rPr>
              <w:t>Der Wert des Vorjahres ist keine Zulassungsgrenze, sondern das Ergebnis der damaligen Bewerberlage.</w:t>
            </w:r>
          </w:p>
        </w:tc>
      </w:tr>
      <w:tr>
        <w:tc>
          <w:tcPr>
            <w:tcW w:type="dxa" w:w="3614"/>
            <w:tcMar>
              <w:left w:w="80" w:type="dxa"/>
              <w:right w:w="80" w:type="dxa"/>
            </w:tcMar>
          </w:tcPr>
          <w:p>
            <w:pPr>
              <w:spacing w:before="40" w:after="40" w:line="264" w:lineRule="auto"/>
            </w:pPr>
            <w:r>
              <w:rPr>
                <w:rFonts w:ascii="Arial" w:hAnsi="Arial"/>
                <w:b/>
                <w:color w:val="111111"/>
                <w:sz w:val="15"/>
              </w:rPr>
              <w:t>Ein Fach ausschließen, weil ein Modul schwer klingt</w:t>
            </w:r>
          </w:p>
        </w:tc>
        <w:tc>
          <w:tcPr>
            <w:tcW w:type="dxa" w:w="6024"/>
            <w:tcMar>
              <w:left w:w="80" w:type="dxa"/>
              <w:right w:w="80" w:type="dxa"/>
            </w:tcMar>
          </w:tcPr>
          <w:p>
            <w:pPr>
              <w:spacing w:before="40" w:after="40" w:line="264" w:lineRule="auto"/>
            </w:pPr>
            <w:r>
              <w:rPr>
                <w:rFonts w:ascii="Arial" w:hAnsi="Arial"/>
                <w:b w:val="0"/>
                <w:color w:val="111111"/>
                <w:sz w:val="15"/>
              </w:rPr>
              <w:t>Prüfen, ob es Pflicht ist, wie oft wiederholt werden darf und ob es Vorkurse gibt.</w:t>
            </w:r>
          </w:p>
        </w:tc>
      </w:tr>
      <w:tr>
        <w:tc>
          <w:tcPr>
            <w:tcW w:type="dxa" w:w="3614"/>
            <w:tcMar>
              <w:left w:w="80" w:type="dxa"/>
              <w:right w:w="80" w:type="dxa"/>
            </w:tcMar>
          </w:tcPr>
          <w:p>
            <w:pPr>
              <w:spacing w:before="40" w:after="40" w:line="264" w:lineRule="auto"/>
            </w:pPr>
            <w:r>
              <w:rPr>
                <w:rFonts w:ascii="Arial" w:hAnsi="Arial"/>
                <w:b/>
                <w:color w:val="111111"/>
                <w:sz w:val="15"/>
              </w:rPr>
              <w:t>Fach und Hochschule in einen Topf werfen</w:t>
            </w:r>
          </w:p>
        </w:tc>
        <w:tc>
          <w:tcPr>
            <w:tcW w:type="dxa" w:w="6024"/>
            <w:tcMar>
              <w:left w:w="80" w:type="dxa"/>
              <w:right w:w="80" w:type="dxa"/>
            </w:tcMar>
          </w:tcPr>
          <w:p>
            <w:pPr>
              <w:spacing w:before="40" w:after="40" w:line="264" w:lineRule="auto"/>
            </w:pPr>
            <w:r>
              <w:rPr>
                <w:rFonts w:ascii="Arial" w:hAnsi="Arial"/>
                <w:b w:val="0"/>
                <w:color w:val="111111"/>
                <w:sz w:val="15"/>
              </w:rPr>
              <w:t>Erst das Fach festlegen, dann Hochschulen für dieses Fach vergleichen. Sonst wird beides zugleich unsicher.</w:t>
            </w:r>
          </w:p>
        </w:tc>
      </w:tr>
      <w:tr>
        <w:tc>
          <w:tcPr>
            <w:tcW w:type="dxa" w:w="3614"/>
            <w:tcMar>
              <w:left w:w="80" w:type="dxa"/>
              <w:right w:w="80" w:type="dxa"/>
            </w:tcMar>
          </w:tcPr>
          <w:p>
            <w:pPr>
              <w:spacing w:before="40" w:after="40" w:line="264" w:lineRule="auto"/>
            </w:pPr>
            <w:r>
              <w:rPr>
                <w:rFonts w:ascii="Arial" w:hAnsi="Arial"/>
                <w:b/>
                <w:color w:val="111111"/>
                <w:sz w:val="15"/>
              </w:rPr>
              <w:t>Auf das Gefühl nach einer Woche warten</w:t>
            </w:r>
          </w:p>
        </w:tc>
        <w:tc>
          <w:tcPr>
            <w:tcW w:type="dxa" w:w="6024"/>
            <w:tcMar>
              <w:left w:w="80" w:type="dxa"/>
              <w:right w:w="80" w:type="dxa"/>
            </w:tcMar>
          </w:tcPr>
          <w:p>
            <w:pPr>
              <w:spacing w:before="40" w:after="40" w:line="264" w:lineRule="auto"/>
            </w:pPr>
            <w:r>
              <w:rPr>
                <w:rFonts w:ascii="Arial" w:hAnsi="Arial"/>
                <w:b w:val="0"/>
                <w:color w:val="111111"/>
                <w:sz w:val="15"/>
              </w:rPr>
              <w:t>Eine Frist setzen, die Punkte oben ausfüllen und danach entscheiden. Ein offener Vergleich wird nicht besser, sondern nur älter.</w:t>
            </w:r>
          </w:p>
        </w:tc>
      </w:tr>
    </w:tbl>
    <w:p>
      <w:pPr>
        <w:spacing w:before="0" w:after="120" w:line="276" w:lineRule="auto"/>
      </w:pPr>
    </w:p>
    <w:p>
      <w:pPr>
        <w:spacing w:before="280" w:after="120" w:line="276" w:lineRule="auto"/>
      </w:pPr>
      <w:r>
        <w:rPr>
          <w:rFonts w:ascii="Arial" w:hAnsi="Arial"/>
          <w:b/>
          <w:i w:val="0"/>
          <w:color w:val="111111"/>
          <w:sz w:val="24"/>
        </w:rPr>
        <w:t>Die Entscheidung festhalten</w:t>
      </w:r>
    </w:p>
    <w:p>
      <w:pPr>
        <w:spacing w:before="0" w:after="60" w:line="276" w:lineRule="auto"/>
        <w:ind w:left="340" w:hanging="340"/>
      </w:pPr>
      <w:r>
        <w:rPr>
          <w:color w:val="00A85A"/>
        </w:rPr>
        <w:t xml:space="preserve">▪  </w:t>
      </w:r>
      <w:r>
        <w:rPr>
          <w:rFonts w:ascii="Arial" w:hAnsi="Arial"/>
          <w:sz w:val="22"/>
        </w:rPr>
        <w:t>Drei Sätze aufschreiben: welches Fach, aus welchem Grund, was dagegen sprach. Das trägt durch das erste schwere Semester.</w:t>
      </w:r>
    </w:p>
    <w:p>
      <w:pPr>
        <w:spacing w:before="0" w:after="60" w:line="276" w:lineRule="auto"/>
        <w:ind w:left="340" w:hanging="340"/>
      </w:pPr>
      <w:r>
        <w:rPr>
          <w:color w:val="00A85A"/>
        </w:rPr>
        <w:t xml:space="preserve">▪  </w:t>
      </w:r>
      <w:r>
        <w:rPr>
          <w:rFonts w:ascii="Arial" w:hAnsi="Arial"/>
          <w:sz w:val="22"/>
        </w:rPr>
        <w:t>Einen Abbruchpunkt vereinbaren: was müsste bis wann eintreten, damit ein Wechsel richtig wäre?</w:t>
      </w:r>
    </w:p>
    <w:p>
      <w:pPr>
        <w:spacing w:before="0" w:after="60" w:line="276" w:lineRule="auto"/>
        <w:ind w:left="340" w:hanging="340"/>
      </w:pPr>
      <w:r>
        <w:rPr>
          <w:color w:val="00A85A"/>
        </w:rPr>
        <w:t xml:space="preserve">▪  </w:t>
      </w:r>
      <w:r>
        <w:rPr>
          <w:rFonts w:ascii="Arial" w:hAnsi="Arial"/>
          <w:sz w:val="22"/>
        </w:rPr>
        <w:t>Den zweiten Platz nicht wegwerfen. Wird ein Wechsel nötig, ist die Vorarbeit schon getan.</w:t>
      </w:r>
    </w:p>
    <w:p>
      <w:pPr>
        <w:spacing w:before="0" w:after="80" w:line="276" w:lineRule="auto"/>
      </w:pPr>
      <w:r>
        <w:rPr>
          <w:rFonts w:ascii="Arial" w:hAnsi="Arial"/>
          <w:b w:val="0"/>
          <w:i w:val="0"/>
          <w:color w:val="555555"/>
          <w:sz w:val="18"/>
        </w:rPr>
        <w:t>Merkzettel von korrektur.de, frei nutzbar. Stand: September 2026.</w:t>
      </w:r>
    </w:p>
    <w:sectPr w:rsidR="00FC693F" w:rsidRPr="0006063C" w:rsidSect="00034616">
      <w:footerReference w:type="default" r:id="rId12"/>
      <w:pgSz w:w="11906" w:h="16838"/>
      <w:pgMar w:top="964" w:right="1134" w:bottom="850" w:left="1134" w:header="720" w:footer="720" w:gutter="0"/>
      <w:cols w:space="720"/>
      <w:docGrid w:linePitch="360"/>
      <w:pgNumType w:fmt="decimal" w:start="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Arial" w:hAnsi="Arial" w:cs="Arial" w:eastAsia="Arial"/>
      <w:color w:val="111111"/>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160"/>
      <w:outlineLvl w:val="0"/>
    </w:pPr>
    <w:rPr>
      <w:rFonts w:ascii="Arial" w:hAnsi="Arial" w:cs="Arial" w:eastAsia="Arial"/>
      <w:b/>
      <w:bCs/>
      <w:color w:val="111111"/>
      <w:sz w:val="32"/>
      <w:szCs w:val="28"/>
    </w:rPr>
  </w:style>
  <w:style w:type="paragraph" w:styleId="Heading2">
    <w:name w:val="heading 2"/>
    <w:basedOn w:val="Normal"/>
    <w:next w:val="Normal"/>
    <w:link w:val="Heading2Char"/>
    <w:uiPriority w:val="9"/>
    <w:unhideWhenUsed/>
    <w:qFormat/>
    <w:rsid w:val="00FC693F"/>
    <w:pPr>
      <w:keepNext/>
      <w:keepLines/>
      <w:spacing w:before="280" w:after="120"/>
      <w:outlineLvl w:val="1"/>
    </w:pPr>
    <w:rPr>
      <w:rFonts w:ascii="Arial" w:hAnsi="Arial" w:cs="Arial" w:eastAsia="Arial"/>
      <w:b/>
      <w:bCs/>
      <w:color w:val="111111"/>
      <w:sz w:val="27"/>
      <w:szCs w:val="26"/>
    </w:rPr>
  </w:style>
  <w:style w:type="paragraph" w:styleId="Heading3">
    <w:name w:val="heading 3"/>
    <w:basedOn w:val="Normal"/>
    <w:next w:val="Normal"/>
    <w:link w:val="Heading3Char"/>
    <w:uiPriority w:val="9"/>
    <w:unhideWhenUsed/>
    <w:qFormat/>
    <w:rsid w:val="00FC693F"/>
    <w:pPr>
      <w:keepNext/>
      <w:keepLines/>
      <w:spacing w:before="240" w:after="100"/>
      <w:outlineLvl w:val="2"/>
    </w:pPr>
    <w:rPr>
      <w:rFonts w:ascii="Arial" w:hAnsi="Arial" w:cs="Arial" w:eastAsia="Arial"/>
      <w:b/>
      <w:bCs/>
      <w:color w:val="111111"/>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 Id="rId11" Type="http://schemas.openxmlformats.org/officeDocument/2006/relationships/hyperlink" Target="https://korrektur.de" TargetMode="External"/><Relationship Id="rId12"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Studienfach vergleichen: Merkzettel mit dem Entscheidungsraster</dc:title>
  <dc:subject>Merkzettel zum Ausdrucken, zwei Seiten</dc:subject>
  <dc:creator>korrektur.de</dc:creator>
  <cp:keywords>Studienfach, Studiengang vergleichen, Modulhandbuch, Studienverlaufsplan, Numerus clausus, Berufsbild, Merkzettel</cp:keywords>
  <dc:description>Kostenlose Vorlage von korrektur.de. Aktuelle Fassung: https://korrektur.de/studiengang-waehlen</dc:description>
  <cp:lastModifiedBy>korrektur.de</cp:lastModifiedBy>
  <cp:revision>1</cp:revision>
  <dcterms:created xsi:type="dcterms:W3CDTF">2013-12-23T23:15:00Z</dcterms:created>
  <dcterms:modified xsi:type="dcterms:W3CDTF">2013-12-23T23:15:00Z</dcterms:modified>
  <cp:category>Vorlage</cp:category>
</cp:coreProperties>
</file>