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Prüfungsrecht und Fristen auf drei Seiten</w:t>
      </w:r>
    </w:p>
    <w:p>
      <w:pPr>
        <w:spacing w:before="0" w:after="160" w:line="276" w:lineRule="auto"/>
      </w:pPr>
      <w:r>
        <w:rPr>
          <w:rFonts w:ascii="Arial" w:hAnsi="Arial"/>
          <w:b w:val="0"/>
          <w:i w:val="0"/>
          <w:color w:val="111111"/>
          <w:sz w:val="22"/>
        </w:rPr>
        <w:t>Auf den nächsten drei Seiten stehen der Aufbau einer Prüfungsordnung, die wichtigsten Verfahrensschritte von der Anmeldung bis zur Exmatrikulation und die Rechte bei Nachteilsausgleich, Akteneinsicht und Widerspruch.</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Zu Beginn des Studiums, um die eigene Prüfungsordnung einmal systematisch zu lesen statt nur bei Bedarf zu suchen.</w:t>
      </w:r>
    </w:p>
    <w:p>
      <w:pPr>
        <w:spacing w:before="0" w:after="80" w:line="276" w:lineRule="auto"/>
        <w:ind w:left="340" w:hanging="340"/>
      </w:pPr>
      <w:r>
        <w:rPr>
          <w:color w:val="00A85A"/>
        </w:rPr>
        <w:t xml:space="preserve">▪  </w:t>
      </w:r>
      <w:r>
        <w:rPr>
          <w:rFonts w:ascii="Arial" w:hAnsi="Arial"/>
          <w:sz w:val="22"/>
        </w:rPr>
        <w:t>Vor einer Prüfungsanmeldung oder einem Rücktritt, um zu wissen, welche Schritte und welche eigene Frist dazugehören.</w:t>
      </w:r>
    </w:p>
    <w:p>
      <w:pPr>
        <w:spacing w:before="0" w:after="80" w:line="276" w:lineRule="auto"/>
        <w:ind w:left="340" w:hanging="340"/>
      </w:pPr>
      <w:r>
        <w:rPr>
          <w:color w:val="00A85A"/>
        </w:rPr>
        <w:t xml:space="preserve">▪  </w:t>
      </w:r>
      <w:r>
        <w:rPr>
          <w:rFonts w:ascii="Arial" w:hAnsi="Arial"/>
          <w:sz w:val="22"/>
        </w:rPr>
        <w:t>Nach einem Bescheid, einer nicht bestandenen Prüfung oder einem Täuschungsvorwurf, um die eigenen Möglichkeiten zu kennen.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Ein Bescheid wird ohne Prüfung der Rechtsbehelfsbelehrung einfach hingenommen, dabei zählt für einen Widerspruch die eigene Frist ab Bekanntgabe.</w:t>
      </w:r>
    </w:p>
    <w:p>
      <w:pPr>
        <w:spacing w:before="0" w:after="80" w:line="276" w:lineRule="auto"/>
        <w:ind w:left="340" w:hanging="340"/>
      </w:pPr>
      <w:r>
        <w:rPr>
          <w:color w:val="00A85A"/>
        </w:rPr>
        <w:t xml:space="preserve">▪  </w:t>
      </w:r>
      <w:r>
        <w:rPr>
          <w:rFonts w:ascii="Arial" w:hAnsi="Arial"/>
          <w:sz w:val="22"/>
        </w:rPr>
        <w:t>Nachteilsausgleich wird erst am Prüfungstag angesprochen, dabei muss er meist vorher formal beantragt werden.</w:t>
      </w:r>
    </w:p>
    <w:p>
      <w:pPr>
        <w:spacing w:before="0" w:after="80" w:line="276" w:lineRule="auto"/>
        <w:ind w:left="340" w:hanging="340"/>
      </w:pPr>
      <w:r>
        <w:rPr>
          <w:color w:val="00A85A"/>
        </w:rPr>
        <w:t xml:space="preserve">▪  </w:t>
      </w:r>
      <w:r>
        <w:rPr>
          <w:rFonts w:ascii="Arial" w:hAnsi="Arial"/>
          <w:sz w:val="22"/>
        </w:rPr>
        <w:t>Eine Frist wird nach einem Erfahrungswert aus dem Bekanntenkreis angenommen statt in der eigenen Prüfungsordnung oder im eigenen Bescheid nachzulesen.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Widerspruch oder ein Antrag auf Nachteilsausgleich liest sich schlecht mit unklaren Formulierungen.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STUDIENORGANISATION</w:t>
      </w:r>
    </w:p>
    <w:p>
      <w:pPr>
        <w:spacing w:before="0" w:after="280" w:line="252" w:lineRule="auto"/>
      </w:pPr>
      <w:r>
        <w:rPr>
          <w:rFonts w:ascii="Arial" w:hAnsi="Arial"/>
          <w:b/>
          <w:i w:val="0"/>
          <w:color w:val="111111"/>
          <w:sz w:val="38"/>
        </w:rPr>
        <w:t>Prüfungsrecht und Fristen auf drei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Maßgeblich ist immer die eigene Prüfungsordnung (oder Studien- und Prüfungsordnung) der jeweiligen Hochschule und des jeweiligen Studiengangs. Dieser Merkzettel zeigt die üblichen Verfahrensschritte, keine festen Fristen oder Paragrafen.</w:t>
            </w:r>
          </w:p>
        </w:tc>
      </w:tr>
    </w:tbl>
    <w:p>
      <w:pPr>
        <w:spacing w:before="0" w:after="140" w:line="20" w:lineRule="exact"/>
      </w:pPr>
    </w:p>
    <w:p>
      <w:pPr>
        <w:spacing w:before="280" w:after="120" w:line="276" w:lineRule="auto"/>
      </w:pPr>
      <w:r>
        <w:rPr>
          <w:rFonts w:ascii="Arial" w:hAnsi="Arial"/>
          <w:b/>
          <w:i w:val="0"/>
          <w:color w:val="111111"/>
          <w:sz w:val="24"/>
        </w:rPr>
        <w:t>Wie du eine Prüfungsordnung liest</w:t>
      </w:r>
    </w:p>
    <w:p>
      <w:pPr>
        <w:spacing w:before="0" w:after="60" w:line="276" w:lineRule="auto"/>
        <w:ind w:left="340" w:hanging="340"/>
      </w:pPr>
      <w:r>
        <w:rPr>
          <w:color w:val="00A85A"/>
        </w:rPr>
        <w:t xml:space="preserve">▪  </w:t>
      </w:r>
      <w:r>
        <w:rPr>
          <w:rFonts w:ascii="Arial" w:hAnsi="Arial"/>
          <w:sz w:val="22"/>
        </w:rPr>
        <w:t>Aufbau: meist ein allgemeiner Teil (Zulassung, Prüfungsformen, Fristen, Wiederholung, Nachteilsausgleich) und ein besonderer Teil mit den Modulen deines Studiengangs.</w:t>
      </w:r>
    </w:p>
    <w:p>
      <w:pPr>
        <w:spacing w:before="0" w:after="60" w:line="276" w:lineRule="auto"/>
        <w:ind w:left="340" w:hanging="340"/>
      </w:pPr>
      <w:r>
        <w:rPr>
          <w:color w:val="00A85A"/>
        </w:rPr>
        <w:t xml:space="preserve">▪  </w:t>
      </w:r>
      <w:r>
        <w:rPr>
          <w:rFonts w:ascii="Arial" w:hAnsi="Arial"/>
          <w:sz w:val="22"/>
        </w:rPr>
        <w:t>Wo was steht: Verfahrensfragen (Anmeldung, Rücktritt, Täuschung, Widerspruch) stehen meist vorn im allgemeinen Teil, Modulinhalte und Prüfungsform je Fach im Anhang.</w:t>
      </w:r>
    </w:p>
    <w:p>
      <w:pPr>
        <w:spacing w:before="0" w:after="60" w:line="276" w:lineRule="auto"/>
        <w:ind w:left="340" w:hanging="340"/>
      </w:pPr>
      <w:r>
        <w:rPr>
          <w:color w:val="00A85A"/>
        </w:rPr>
        <w:t xml:space="preserve">▪  </w:t>
      </w:r>
      <w:r>
        <w:rPr>
          <w:rFonts w:ascii="Arial" w:hAnsi="Arial"/>
          <w:sz w:val="22"/>
        </w:rPr>
        <w:t>Unterschied zur Studienordnung: Die Studienordnung regelt den Aufbau und Inhalt des Studiums, die Prüfungsordnung die Prüfungen selbst. An vielen Hochschulen stehen beide heute in einem gemeinsamen Dokument.</w:t>
      </w:r>
    </w:p>
    <w:p>
      <w:pPr>
        <w:spacing w:before="0" w:after="60" w:line="276" w:lineRule="auto"/>
        <w:ind w:left="340" w:hanging="340"/>
      </w:pPr>
      <w:r>
        <w:rPr>
          <w:color w:val="00A85A"/>
        </w:rPr>
        <w:t xml:space="preserve">▪  </w:t>
      </w:r>
      <w:r>
        <w:rPr>
          <w:rFonts w:ascii="Arial" w:hAnsi="Arial"/>
          <w:sz w:val="22"/>
        </w:rPr>
        <w:t>Wirkung einer Änderung: Prüfungsordnungen werden gelegentlich geändert. Welche Fassung für dich gilt (die bei Studienbeginn oder die aktuelle), regelt meist eine Übergangsvorschrift in der neuen Fassung, nicht eine allgemeine Regel.</w:t>
      </w:r>
    </w:p>
    <w:p>
      <w:pPr>
        <w:spacing w:before="280" w:after="120" w:line="276" w:lineRule="auto"/>
      </w:pPr>
      <w:r>
        <w:rPr>
          <w:rFonts w:ascii="Arial" w:hAnsi="Arial"/>
          <w:b/>
          <w:i w:val="0"/>
          <w:color w:val="111111"/>
          <w:sz w:val="24"/>
        </w:rPr>
        <w:t>Zentrale Begriffe und wo sie meist stehen</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3213"/>
        <w:gridCol w:w="6425"/>
      </w:tblGrid>
      <w:tr>
        <w:tc>
          <w:tcPr>
            <w:tcW w:type="dxa" w:w="3213"/>
            <w:shd w:val="clear" w:color="auto" w:fill="F2F8F4"/>
            <w:tcMar>
              <w:left w:w="80" w:type="dxa"/>
              <w:right w:w="80" w:type="dxa"/>
            </w:tcMar>
          </w:tcPr>
          <w:p>
            <w:pPr>
              <w:spacing w:before="40" w:after="40" w:line="264" w:lineRule="auto"/>
            </w:pPr>
            <w:r>
              <w:rPr>
                <w:rFonts w:ascii="Arial" w:hAnsi="Arial"/>
                <w:b/>
                <w:color w:val="006B46"/>
                <w:sz w:val="15"/>
              </w:rPr>
              <w:t>Thema</w:t>
            </w:r>
          </w:p>
        </w:tc>
        <w:tc>
          <w:tcPr>
            <w:tcW w:type="dxa" w:w="6425"/>
            <w:shd w:val="clear" w:color="auto" w:fill="F2F8F4"/>
            <w:tcMar>
              <w:left w:w="80" w:type="dxa"/>
              <w:right w:w="80" w:type="dxa"/>
            </w:tcMar>
          </w:tcPr>
          <w:p>
            <w:pPr>
              <w:spacing w:before="40" w:after="40" w:line="264" w:lineRule="auto"/>
            </w:pPr>
            <w:r>
              <w:rPr>
                <w:rFonts w:ascii="Arial" w:hAnsi="Arial"/>
                <w:b/>
                <w:color w:val="006B46"/>
                <w:sz w:val="15"/>
              </w:rPr>
              <w:t>Wo es in der Prüfungsordnung meist steht</w:t>
            </w:r>
          </w:p>
        </w:tc>
      </w:tr>
      <w:tr>
        <w:tc>
          <w:tcPr>
            <w:tcW w:type="dxa" w:w="3213"/>
            <w:tcMar>
              <w:left w:w="80" w:type="dxa"/>
              <w:right w:w="80" w:type="dxa"/>
            </w:tcMar>
          </w:tcPr>
          <w:p>
            <w:pPr>
              <w:spacing w:before="40" w:after="40" w:line="264" w:lineRule="auto"/>
            </w:pPr>
            <w:r>
              <w:rPr>
                <w:rFonts w:ascii="Arial" w:hAnsi="Arial"/>
                <w:b/>
                <w:color w:val="111111"/>
                <w:sz w:val="15"/>
              </w:rPr>
              <w:t>Anmeldefristen zur Prüfung</w:t>
            </w:r>
          </w:p>
        </w:tc>
        <w:tc>
          <w:tcPr>
            <w:tcW w:type="dxa" w:w="6425"/>
            <w:tcMar>
              <w:left w:w="80" w:type="dxa"/>
              <w:right w:w="80" w:type="dxa"/>
            </w:tcMar>
          </w:tcPr>
          <w:p>
            <w:pPr>
              <w:spacing w:before="40" w:after="40" w:line="264" w:lineRule="auto"/>
            </w:pPr>
            <w:r>
              <w:rPr>
                <w:rFonts w:ascii="Arial" w:hAnsi="Arial"/>
                <w:b w:val="0"/>
                <w:color w:val="111111"/>
                <w:sz w:val="15"/>
              </w:rPr>
              <w:t>Allgemeiner Teil, Abschnitt zu Prüfungsanmeldung und -organisation.</w:t>
            </w:r>
          </w:p>
        </w:tc>
      </w:tr>
      <w:tr>
        <w:tc>
          <w:tcPr>
            <w:tcW w:type="dxa" w:w="3213"/>
            <w:tcMar>
              <w:left w:w="80" w:type="dxa"/>
              <w:right w:w="80" w:type="dxa"/>
            </w:tcMar>
          </w:tcPr>
          <w:p>
            <w:pPr>
              <w:spacing w:before="40" w:after="40" w:line="264" w:lineRule="auto"/>
            </w:pPr>
            <w:r>
              <w:rPr>
                <w:rFonts w:ascii="Arial" w:hAnsi="Arial"/>
                <w:b/>
                <w:color w:val="111111"/>
                <w:sz w:val="15"/>
              </w:rPr>
              <w:t>Rücktritt von einer Prüfung</w:t>
            </w:r>
          </w:p>
        </w:tc>
        <w:tc>
          <w:tcPr>
            <w:tcW w:type="dxa" w:w="6425"/>
            <w:tcMar>
              <w:left w:w="80" w:type="dxa"/>
              <w:right w:w="80" w:type="dxa"/>
            </w:tcMar>
          </w:tcPr>
          <w:p>
            <w:pPr>
              <w:spacing w:before="40" w:after="40" w:line="264" w:lineRule="auto"/>
            </w:pPr>
            <w:r>
              <w:rPr>
                <w:rFonts w:ascii="Arial" w:hAnsi="Arial"/>
                <w:b w:val="0"/>
                <w:color w:val="111111"/>
                <w:sz w:val="15"/>
              </w:rPr>
              <w:t>Allgemeiner Teil, meist direkt nach der Anmeldung geregelt.</w:t>
            </w:r>
          </w:p>
        </w:tc>
      </w:tr>
      <w:tr>
        <w:tc>
          <w:tcPr>
            <w:tcW w:type="dxa" w:w="3213"/>
            <w:tcMar>
              <w:left w:w="80" w:type="dxa"/>
              <w:right w:w="80" w:type="dxa"/>
            </w:tcMar>
          </w:tcPr>
          <w:p>
            <w:pPr>
              <w:spacing w:before="40" w:after="40" w:line="264" w:lineRule="auto"/>
            </w:pPr>
            <w:r>
              <w:rPr>
                <w:rFonts w:ascii="Arial" w:hAnsi="Arial"/>
                <w:b/>
                <w:color w:val="111111"/>
                <w:sz w:val="15"/>
              </w:rPr>
              <w:t>Wiederholung und Freiversuch</w:t>
            </w:r>
          </w:p>
        </w:tc>
        <w:tc>
          <w:tcPr>
            <w:tcW w:type="dxa" w:w="6425"/>
            <w:tcMar>
              <w:left w:w="80" w:type="dxa"/>
              <w:right w:w="80" w:type="dxa"/>
            </w:tcMar>
          </w:tcPr>
          <w:p>
            <w:pPr>
              <w:spacing w:before="40" w:after="40" w:line="264" w:lineRule="auto"/>
            </w:pPr>
            <w:r>
              <w:rPr>
                <w:rFonts w:ascii="Arial" w:hAnsi="Arial"/>
                <w:b w:val="0"/>
                <w:color w:val="111111"/>
                <w:sz w:val="15"/>
              </w:rPr>
              <w:t>Allgemeiner Teil, Abschnitt zu Wiederholungsprüfungen.</w:t>
            </w:r>
          </w:p>
        </w:tc>
      </w:tr>
      <w:tr>
        <w:tc>
          <w:tcPr>
            <w:tcW w:type="dxa" w:w="3213"/>
            <w:tcMar>
              <w:left w:w="80" w:type="dxa"/>
              <w:right w:w="80" w:type="dxa"/>
            </w:tcMar>
          </w:tcPr>
          <w:p>
            <w:pPr>
              <w:spacing w:before="40" w:after="40" w:line="264" w:lineRule="auto"/>
            </w:pPr>
            <w:r>
              <w:rPr>
                <w:rFonts w:ascii="Arial" w:hAnsi="Arial"/>
                <w:b/>
                <w:color w:val="111111"/>
                <w:sz w:val="15"/>
              </w:rPr>
              <w:t>Nachteilsausgleich</w:t>
            </w:r>
          </w:p>
        </w:tc>
        <w:tc>
          <w:tcPr>
            <w:tcW w:type="dxa" w:w="6425"/>
            <w:tcMar>
              <w:left w:w="80" w:type="dxa"/>
              <w:right w:w="80" w:type="dxa"/>
            </w:tcMar>
          </w:tcPr>
          <w:p>
            <w:pPr>
              <w:spacing w:before="40" w:after="40" w:line="264" w:lineRule="auto"/>
            </w:pPr>
            <w:r>
              <w:rPr>
                <w:rFonts w:ascii="Arial" w:hAnsi="Arial"/>
                <w:b w:val="0"/>
                <w:color w:val="111111"/>
                <w:sz w:val="15"/>
              </w:rPr>
              <w:t>Allgemeiner Teil, oft ein eigener Paragraf zu Nachteilen durch Behinderung oder chronische Krankheit.</w:t>
            </w:r>
          </w:p>
        </w:tc>
      </w:tr>
      <w:tr>
        <w:tc>
          <w:tcPr>
            <w:tcW w:type="dxa" w:w="3213"/>
            <w:tcMar>
              <w:left w:w="80" w:type="dxa"/>
              <w:right w:w="80" w:type="dxa"/>
            </w:tcMar>
          </w:tcPr>
          <w:p>
            <w:pPr>
              <w:spacing w:before="40" w:after="40" w:line="264" w:lineRule="auto"/>
            </w:pPr>
            <w:r>
              <w:rPr>
                <w:rFonts w:ascii="Arial" w:hAnsi="Arial"/>
                <w:b/>
                <w:color w:val="111111"/>
                <w:sz w:val="15"/>
              </w:rPr>
              <w:t>Täuschung und Ordnungsverstoß</w:t>
            </w:r>
          </w:p>
        </w:tc>
        <w:tc>
          <w:tcPr>
            <w:tcW w:type="dxa" w:w="6425"/>
            <w:tcMar>
              <w:left w:w="80" w:type="dxa"/>
              <w:right w:w="80" w:type="dxa"/>
            </w:tcMar>
          </w:tcPr>
          <w:p>
            <w:pPr>
              <w:spacing w:before="40" w:after="40" w:line="264" w:lineRule="auto"/>
            </w:pPr>
            <w:r>
              <w:rPr>
                <w:rFonts w:ascii="Arial" w:hAnsi="Arial"/>
                <w:b w:val="0"/>
                <w:color w:val="111111"/>
                <w:sz w:val="15"/>
              </w:rPr>
              <w:t>Allgemeiner Teil, Abschnitt zu Täuschung und Ordnungsverstößen.</w:t>
            </w:r>
          </w:p>
        </w:tc>
      </w:tr>
      <w:tr>
        <w:tc>
          <w:tcPr>
            <w:tcW w:type="dxa" w:w="3213"/>
            <w:tcMar>
              <w:left w:w="80" w:type="dxa"/>
              <w:right w:w="80" w:type="dxa"/>
            </w:tcMar>
          </w:tcPr>
          <w:p>
            <w:pPr>
              <w:spacing w:before="40" w:after="40" w:line="264" w:lineRule="auto"/>
            </w:pPr>
            <w:r>
              <w:rPr>
                <w:rFonts w:ascii="Arial" w:hAnsi="Arial"/>
                <w:b/>
                <w:color w:val="111111"/>
                <w:sz w:val="15"/>
              </w:rPr>
              <w:t>Widerspruch gegen einen Bescheid</w:t>
            </w:r>
          </w:p>
        </w:tc>
        <w:tc>
          <w:tcPr>
            <w:tcW w:type="dxa" w:w="6425"/>
            <w:tcMar>
              <w:left w:w="80" w:type="dxa"/>
              <w:right w:w="80" w:type="dxa"/>
            </w:tcMar>
          </w:tcPr>
          <w:p>
            <w:pPr>
              <w:spacing w:before="40" w:after="40" w:line="264" w:lineRule="auto"/>
            </w:pPr>
            <w:r>
              <w:rPr>
                <w:rFonts w:ascii="Arial" w:hAnsi="Arial"/>
                <w:b w:val="0"/>
                <w:color w:val="111111"/>
                <w:sz w:val="15"/>
              </w:rPr>
              <w:t>Meist in der Rechtsbehelfsbelehrung am Ende des Bescheids, nicht in der Prüfungsordnung selbst.</w:t>
            </w:r>
          </w:p>
        </w:tc>
      </w:tr>
      <w:tr>
        <w:tc>
          <w:tcPr>
            <w:tcW w:type="dxa" w:w="3213"/>
            <w:tcMar>
              <w:left w:w="80" w:type="dxa"/>
              <w:right w:w="80" w:type="dxa"/>
            </w:tcMar>
          </w:tcPr>
          <w:p>
            <w:pPr>
              <w:spacing w:before="40" w:after="40" w:line="264" w:lineRule="auto"/>
            </w:pPr>
            <w:r>
              <w:rPr>
                <w:rFonts w:ascii="Arial" w:hAnsi="Arial"/>
                <w:b/>
                <w:color w:val="111111"/>
                <w:sz w:val="15"/>
              </w:rPr>
              <w:t>Regelstudienzeit</w:t>
            </w:r>
          </w:p>
        </w:tc>
        <w:tc>
          <w:tcPr>
            <w:tcW w:type="dxa" w:w="6425"/>
            <w:tcMar>
              <w:left w:w="80" w:type="dxa"/>
              <w:right w:w="80" w:type="dxa"/>
            </w:tcMar>
          </w:tcPr>
          <w:p>
            <w:pPr>
              <w:spacing w:before="40" w:after="40" w:line="264" w:lineRule="auto"/>
            </w:pPr>
            <w:r>
              <w:rPr>
                <w:rFonts w:ascii="Arial" w:hAnsi="Arial"/>
                <w:b w:val="0"/>
                <w:color w:val="111111"/>
                <w:sz w:val="15"/>
              </w:rPr>
              <w:t>Allgemeiner Teil oder in der Studienordnung, je nach Hochschule.</w:t>
            </w:r>
          </w:p>
        </w:tc>
      </w:tr>
      <w:tr>
        <w:tc>
          <w:tcPr>
            <w:tcW w:type="dxa" w:w="3213"/>
            <w:tcMar>
              <w:left w:w="80" w:type="dxa"/>
              <w:right w:w="80" w:type="dxa"/>
            </w:tcMar>
          </w:tcPr>
          <w:p>
            <w:pPr>
              <w:spacing w:before="40" w:after="40" w:line="264" w:lineRule="auto"/>
            </w:pPr>
            <w:r>
              <w:rPr>
                <w:rFonts w:ascii="Arial" w:hAnsi="Arial"/>
                <w:b/>
                <w:color w:val="111111"/>
                <w:sz w:val="15"/>
              </w:rPr>
              <w:t>Zulässige Prüfungsformen</w:t>
            </w:r>
          </w:p>
        </w:tc>
        <w:tc>
          <w:tcPr>
            <w:tcW w:type="dxa" w:w="6425"/>
            <w:tcMar>
              <w:left w:w="80" w:type="dxa"/>
              <w:right w:w="80" w:type="dxa"/>
            </w:tcMar>
          </w:tcPr>
          <w:p>
            <w:pPr>
              <w:spacing w:before="40" w:after="40" w:line="264" w:lineRule="auto"/>
            </w:pPr>
            <w:r>
              <w:rPr>
                <w:rFonts w:ascii="Arial" w:hAnsi="Arial"/>
                <w:b w:val="0"/>
                <w:color w:val="111111"/>
                <w:sz w:val="15"/>
              </w:rPr>
              <w:t>Allgemeiner Teil für die Grundregel, besonderer Teil für die Form je Modul.</w:t>
            </w:r>
          </w:p>
        </w:tc>
      </w:tr>
      <w:tr>
        <w:tc>
          <w:tcPr>
            <w:tcW w:type="dxa" w:w="3213"/>
            <w:tcMar>
              <w:left w:w="80" w:type="dxa"/>
              <w:right w:w="80" w:type="dxa"/>
            </w:tcMar>
          </w:tcPr>
          <w:p>
            <w:pPr>
              <w:spacing w:before="40" w:after="40" w:line="264" w:lineRule="auto"/>
            </w:pPr>
            <w:r>
              <w:rPr>
                <w:rFonts w:ascii="Arial" w:hAnsi="Arial"/>
                <w:b/>
                <w:color w:val="111111"/>
                <w:sz w:val="15"/>
              </w:rPr>
              <w:t>Berechnung der Abschlussnote</w:t>
            </w:r>
          </w:p>
        </w:tc>
        <w:tc>
          <w:tcPr>
            <w:tcW w:type="dxa" w:w="6425"/>
            <w:tcMar>
              <w:left w:w="80" w:type="dxa"/>
              <w:right w:w="80" w:type="dxa"/>
            </w:tcMar>
          </w:tcPr>
          <w:p>
            <w:pPr>
              <w:spacing w:before="40" w:after="40" w:line="264" w:lineRule="auto"/>
            </w:pPr>
            <w:r>
              <w:rPr>
                <w:rFonts w:ascii="Arial" w:hAnsi="Arial"/>
                <w:b w:val="0"/>
                <w:color w:val="111111"/>
                <w:sz w:val="15"/>
              </w:rPr>
              <w:t>Allgemeiner Teil, Abschnitt zur Notenbildung und Gewichtung.</w:t>
            </w:r>
          </w:p>
        </w:tc>
      </w:tr>
      <w:tr>
        <w:tc>
          <w:tcPr>
            <w:tcW w:type="dxa" w:w="3213"/>
            <w:tcMar>
              <w:left w:w="80" w:type="dxa"/>
              <w:right w:w="80" w:type="dxa"/>
            </w:tcMar>
          </w:tcPr>
          <w:p>
            <w:pPr>
              <w:spacing w:before="40" w:after="40" w:line="264" w:lineRule="auto"/>
            </w:pPr>
            <w:r>
              <w:rPr>
                <w:rFonts w:ascii="Arial" w:hAnsi="Arial"/>
                <w:b/>
                <w:color w:val="111111"/>
                <w:sz w:val="15"/>
              </w:rPr>
              <w:t>Bestehensgrenzen je Prüfung</w:t>
            </w:r>
          </w:p>
        </w:tc>
        <w:tc>
          <w:tcPr>
            <w:tcW w:type="dxa" w:w="6425"/>
            <w:tcMar>
              <w:left w:w="80" w:type="dxa"/>
              <w:right w:w="80" w:type="dxa"/>
            </w:tcMar>
          </w:tcPr>
          <w:p>
            <w:pPr>
              <w:spacing w:before="40" w:after="40" w:line="264" w:lineRule="auto"/>
            </w:pPr>
            <w:r>
              <w:rPr>
                <w:rFonts w:ascii="Arial" w:hAnsi="Arial"/>
                <w:b w:val="0"/>
                <w:color w:val="111111"/>
                <w:sz w:val="15"/>
              </w:rPr>
              <w:t>Allgemeiner Teil für die Grundregel, besonderer Teil für Abweichungen je Modul.</w:t>
            </w:r>
          </w:p>
        </w:tc>
      </w:tr>
      <w:tr>
        <w:tc>
          <w:tcPr>
            <w:tcW w:type="dxa" w:w="3213"/>
            <w:tcMar>
              <w:left w:w="80" w:type="dxa"/>
              <w:right w:w="80" w:type="dxa"/>
            </w:tcMar>
          </w:tcPr>
          <w:p>
            <w:pPr>
              <w:spacing w:before="40" w:after="40" w:line="264" w:lineRule="auto"/>
            </w:pPr>
            <w:r>
              <w:rPr>
                <w:rFonts w:ascii="Arial" w:hAnsi="Arial"/>
                <w:b/>
                <w:color w:val="111111"/>
                <w:sz w:val="15"/>
              </w:rPr>
              <w:t>Anerkennung von Praktikum oder Auslandsstudium</w:t>
            </w:r>
          </w:p>
        </w:tc>
        <w:tc>
          <w:tcPr>
            <w:tcW w:type="dxa" w:w="6425"/>
            <w:tcMar>
              <w:left w:w="80" w:type="dxa"/>
              <w:right w:w="80" w:type="dxa"/>
            </w:tcMar>
          </w:tcPr>
          <w:p>
            <w:pPr>
              <w:spacing w:before="40" w:after="40" w:line="264" w:lineRule="auto"/>
            </w:pPr>
            <w:r>
              <w:rPr>
                <w:rFonts w:ascii="Arial" w:hAnsi="Arial"/>
                <w:b w:val="0"/>
                <w:color w:val="111111"/>
                <w:sz w:val="15"/>
              </w:rPr>
              <w:t>Allgemeiner Teil, Abschnitt zur Anerkennung von Leistungen.</w:t>
            </w:r>
          </w:p>
        </w:tc>
      </w:tr>
      <w:tr>
        <w:tc>
          <w:tcPr>
            <w:tcW w:type="dxa" w:w="3213"/>
            <w:tcMar>
              <w:left w:w="80" w:type="dxa"/>
              <w:right w:w="80" w:type="dxa"/>
            </w:tcMar>
          </w:tcPr>
          <w:p>
            <w:pPr>
              <w:spacing w:before="40" w:after="40" w:line="264" w:lineRule="auto"/>
            </w:pPr>
            <w:r>
              <w:rPr>
                <w:rFonts w:ascii="Arial" w:hAnsi="Arial"/>
                <w:b/>
                <w:color w:val="111111"/>
                <w:sz w:val="15"/>
              </w:rPr>
              <w:t>Bearbeitungszeit der Abschlussarbeit</w:t>
            </w:r>
          </w:p>
        </w:tc>
        <w:tc>
          <w:tcPr>
            <w:tcW w:type="dxa" w:w="6425"/>
            <w:tcMar>
              <w:left w:w="80" w:type="dxa"/>
              <w:right w:w="80" w:type="dxa"/>
            </w:tcMar>
          </w:tcPr>
          <w:p>
            <w:pPr>
              <w:spacing w:before="40" w:after="40" w:line="264" w:lineRule="auto"/>
            </w:pPr>
            <w:r>
              <w:rPr>
                <w:rFonts w:ascii="Arial" w:hAnsi="Arial"/>
                <w:b w:val="0"/>
                <w:color w:val="111111"/>
                <w:sz w:val="15"/>
              </w:rPr>
              <w:t>Besonderer Teil, im Abschnitt zur Abschlussarbeit.</w:t>
            </w:r>
          </w:p>
        </w:tc>
      </w:tr>
    </w:tbl>
    <w:p>
      <w:pPr>
        <w:spacing w:before="0" w:after="120" w:line="276" w:lineRule="auto"/>
      </w:pPr>
    </w:p>
    <w:p>
      <w:pPr>
        <w:spacing w:before="280" w:after="120" w:line="276" w:lineRule="auto"/>
      </w:pPr>
      <w:r>
        <w:rPr>
          <w:rFonts w:ascii="Arial" w:hAnsi="Arial"/>
          <w:b/>
          <w:i w:val="0"/>
          <w:color w:val="111111"/>
          <w:sz w:val="24"/>
        </w:rPr>
        <w:t>Prüfungsanmeldung und Rücktritt</w:t>
      </w:r>
    </w:p>
    <w:p>
      <w:pPr>
        <w:spacing w:before="0" w:after="120" w:line="276" w:lineRule="auto"/>
      </w:pPr>
      <w:r>
        <w:rPr>
          <w:rFonts w:ascii="Arial" w:hAnsi="Arial"/>
          <w:b w:val="0"/>
          <w:i w:val="0"/>
          <w:color w:val="111111"/>
          <w:sz w:val="22"/>
        </w:rPr>
        <w:t>Für Anmeldung, Frist und Form eines Rücktritts gilt allein die eigene Prüfungsordnung, oft ergänzt um Vorgaben des Prüfungsamts zum Anmeldeportal. Ein Rücktritt ohne triftigen Grund nach Ablauf der jeweiligen Frist zählt meist als nicht bestanden. Bei einem Rücktritt aus wichtigem Grund, etwa Krankheit, prüft die zuständige Stelle die vorgelegten Nachweise und entscheidet über die Wirkung des Rücktritts.</w:t>
      </w:r>
    </w:p>
    <w:p>
      <w:pPr>
        <w:spacing w:before="280" w:after="120" w:line="276" w:lineRule="auto"/>
      </w:pPr>
      <w:r>
        <w:rPr>
          <w:rFonts w:ascii="Arial" w:hAnsi="Arial"/>
          <w:b/>
          <w:i w:val="0"/>
          <w:color w:val="111111"/>
          <w:sz w:val="24"/>
        </w:rPr>
        <w:t>Krankheit und Attest bei Prüfungsunfähigkeit</w:t>
      </w:r>
    </w:p>
    <w:p>
      <w:pPr>
        <w:spacing w:before="0" w:after="120" w:line="276" w:lineRule="auto"/>
      </w:pPr>
      <w:r>
        <w:rPr>
          <w:rFonts w:ascii="Arial" w:hAnsi="Arial"/>
          <w:b w:val="0"/>
          <w:i w:val="0"/>
          <w:color w:val="111111"/>
          <w:sz w:val="22"/>
        </w:rPr>
        <w:t>Wer eine Prüfung wegen Krankheit nicht antreten oder fortsetzen kann, muss das meist unverzüglich anzeigen und mit einem ärztlichen Attest belegen. Manche Prüfungsordnung verlangt dafür ein Attest mit bestimmten Angaben oder ein amtsärztliches Attest. Welche Form und welche Frist genau gelten, steht in der eigenen Prüfungsordnung, meist im Abschnitt zum Rücktritt.</w:t>
      </w:r>
    </w:p>
    <w:p>
      <w:pPr>
        <w:spacing w:before="280" w:after="120" w:line="276" w:lineRule="auto"/>
      </w:pPr>
      <w:r>
        <w:rPr>
          <w:rFonts w:ascii="Arial" w:hAnsi="Arial"/>
          <w:b/>
          <w:i w:val="0"/>
          <w:color w:val="111111"/>
          <w:sz w:val="24"/>
        </w:rPr>
        <w:t>Freiversuch und Verbesserungsversuch</w:t>
      </w:r>
    </w:p>
    <w:p>
      <w:pPr>
        <w:spacing w:before="0" w:after="120" w:line="276" w:lineRule="auto"/>
      </w:pPr>
      <w:r>
        <w:rPr>
          <w:rFonts w:ascii="Arial" w:hAnsi="Arial"/>
          <w:b w:val="0"/>
          <w:i w:val="0"/>
          <w:color w:val="111111"/>
          <w:sz w:val="22"/>
        </w:rPr>
        <w:t>Ein Freiversuch zählt eine innerhalb der Regelstudienzeit nicht bestandene Prüfung nicht als Fehlversuch, ein Verbesserungsversuch erlaubt, eine bestandene Prüfung einmal zu wiederholen, um die Note zu verbessern. Ob es beide Möglichkeiten gibt, unter welchen Voraussetzungen und mit welcher Wirkung bei mehreren Prüfungsversuchen, regelt ausschließlich die eigene Prüfungsordnung.</w:t>
      </w:r>
    </w:p>
    <w:p>
      <w:pPr>
        <w:spacing w:before="280" w:after="120" w:line="276" w:lineRule="auto"/>
      </w:pPr>
      <w:r>
        <w:rPr>
          <w:rFonts w:ascii="Arial" w:hAnsi="Arial"/>
          <w:b/>
          <w:i w:val="0"/>
          <w:color w:val="111111"/>
          <w:sz w:val="24"/>
        </w:rPr>
        <w:t>Verfahrensschritte im Überblick</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811"/>
        <w:gridCol w:w="6827"/>
      </w:tblGrid>
      <w:tr>
        <w:tc>
          <w:tcPr>
            <w:tcW w:type="dxa" w:w="2811"/>
            <w:shd w:val="clear" w:color="auto" w:fill="F2F8F4"/>
            <w:tcMar>
              <w:left w:w="80" w:type="dxa"/>
              <w:right w:w="80" w:type="dxa"/>
            </w:tcMar>
          </w:tcPr>
          <w:p>
            <w:pPr>
              <w:spacing w:before="40" w:after="40" w:line="264" w:lineRule="auto"/>
            </w:pPr>
            <w:r>
              <w:rPr>
                <w:rFonts w:ascii="Arial" w:hAnsi="Arial"/>
                <w:b/>
                <w:color w:val="006B46"/>
                <w:sz w:val="15"/>
              </w:rPr>
              <w:t>Schritt</w:t>
            </w:r>
          </w:p>
        </w:tc>
        <w:tc>
          <w:tcPr>
            <w:tcW w:type="dxa" w:w="6827"/>
            <w:shd w:val="clear" w:color="auto" w:fill="F2F8F4"/>
            <w:tcMar>
              <w:left w:w="80" w:type="dxa"/>
              <w:right w:w="80" w:type="dxa"/>
            </w:tcMar>
          </w:tcPr>
          <w:p>
            <w:pPr>
              <w:spacing w:before="40" w:after="40" w:line="264" w:lineRule="auto"/>
            </w:pPr>
            <w:r>
              <w:rPr>
                <w:rFonts w:ascii="Arial" w:hAnsi="Arial"/>
                <w:b/>
                <w:color w:val="006B46"/>
                <w:sz w:val="15"/>
              </w:rPr>
              <w:t>Was zu tun ist</w:t>
            </w:r>
          </w:p>
        </w:tc>
      </w:tr>
      <w:tr>
        <w:tc>
          <w:tcPr>
            <w:tcW w:type="dxa" w:w="2811"/>
            <w:tcMar>
              <w:left w:w="80" w:type="dxa"/>
              <w:right w:w="80" w:type="dxa"/>
            </w:tcMar>
          </w:tcPr>
          <w:p>
            <w:pPr>
              <w:spacing w:before="40" w:after="40" w:line="264" w:lineRule="auto"/>
            </w:pPr>
            <w:r>
              <w:rPr>
                <w:rFonts w:ascii="Arial" w:hAnsi="Arial"/>
                <w:b/>
                <w:color w:val="111111"/>
                <w:sz w:val="15"/>
              </w:rPr>
              <w:t>Prüfung anmelden</w:t>
            </w:r>
          </w:p>
        </w:tc>
        <w:tc>
          <w:tcPr>
            <w:tcW w:type="dxa" w:w="6827"/>
            <w:tcMar>
              <w:left w:w="80" w:type="dxa"/>
              <w:right w:w="80" w:type="dxa"/>
            </w:tcMar>
          </w:tcPr>
          <w:p>
            <w:pPr>
              <w:spacing w:before="40" w:after="40" w:line="264" w:lineRule="auto"/>
            </w:pPr>
            <w:r>
              <w:rPr>
                <w:rFonts w:ascii="Arial" w:hAnsi="Arial"/>
                <w:b w:val="0"/>
                <w:color w:val="111111"/>
                <w:sz w:val="15"/>
              </w:rPr>
              <w:t>Fristgerecht über das vorgesehene Portal oder Verfahren anmelden, eigene Frist der Prüfungsordnung beachten.</w:t>
            </w:r>
          </w:p>
        </w:tc>
      </w:tr>
      <w:tr>
        <w:tc>
          <w:tcPr>
            <w:tcW w:type="dxa" w:w="2811"/>
            <w:tcMar>
              <w:left w:w="80" w:type="dxa"/>
              <w:right w:w="80" w:type="dxa"/>
            </w:tcMar>
          </w:tcPr>
          <w:p>
            <w:pPr>
              <w:spacing w:before="40" w:after="40" w:line="264" w:lineRule="auto"/>
            </w:pPr>
            <w:r>
              <w:rPr>
                <w:rFonts w:ascii="Arial" w:hAnsi="Arial"/>
                <w:b/>
                <w:color w:val="111111"/>
                <w:sz w:val="15"/>
              </w:rPr>
              <w:t>Vor der Prüfung zurücktreten</w:t>
            </w:r>
          </w:p>
        </w:tc>
        <w:tc>
          <w:tcPr>
            <w:tcW w:type="dxa" w:w="6827"/>
            <w:tcMar>
              <w:left w:w="80" w:type="dxa"/>
              <w:right w:w="80" w:type="dxa"/>
            </w:tcMar>
          </w:tcPr>
          <w:p>
            <w:pPr>
              <w:spacing w:before="40" w:after="40" w:line="264" w:lineRule="auto"/>
            </w:pPr>
            <w:r>
              <w:rPr>
                <w:rFonts w:ascii="Arial" w:hAnsi="Arial"/>
                <w:b w:val="0"/>
                <w:color w:val="111111"/>
                <w:sz w:val="15"/>
              </w:rPr>
              <w:t>Form und Frist aus der Prüfungsordnung einhalten, bei Krankheit meist zusätzlich ein Attest vorlegen.</w:t>
            </w:r>
          </w:p>
        </w:tc>
      </w:tr>
      <w:tr>
        <w:tc>
          <w:tcPr>
            <w:tcW w:type="dxa" w:w="2811"/>
            <w:tcMar>
              <w:left w:w="80" w:type="dxa"/>
              <w:right w:w="80" w:type="dxa"/>
            </w:tcMar>
          </w:tcPr>
          <w:p>
            <w:pPr>
              <w:spacing w:before="40" w:after="40" w:line="264" w:lineRule="auto"/>
            </w:pPr>
            <w:r>
              <w:rPr>
                <w:rFonts w:ascii="Arial" w:hAnsi="Arial"/>
                <w:b/>
                <w:color w:val="111111"/>
                <w:sz w:val="15"/>
              </w:rPr>
              <w:t>Prüfungsunfähigkeit am Prüfungstag</w:t>
            </w:r>
          </w:p>
        </w:tc>
        <w:tc>
          <w:tcPr>
            <w:tcW w:type="dxa" w:w="6827"/>
            <w:tcMar>
              <w:left w:w="80" w:type="dxa"/>
              <w:right w:w="80" w:type="dxa"/>
            </w:tcMar>
          </w:tcPr>
          <w:p>
            <w:pPr>
              <w:spacing w:before="40" w:after="40" w:line="264" w:lineRule="auto"/>
            </w:pPr>
            <w:r>
              <w:rPr>
                <w:rFonts w:ascii="Arial" w:hAnsi="Arial"/>
                <w:b w:val="0"/>
                <w:color w:val="111111"/>
                <w:sz w:val="15"/>
              </w:rPr>
              <w:t>Unverzüglich anzeigen, Nachweis wie gefordert nachreichen.</w:t>
            </w:r>
          </w:p>
        </w:tc>
      </w:tr>
      <w:tr>
        <w:tc>
          <w:tcPr>
            <w:tcW w:type="dxa" w:w="2811"/>
            <w:tcMar>
              <w:left w:w="80" w:type="dxa"/>
              <w:right w:w="80" w:type="dxa"/>
            </w:tcMar>
          </w:tcPr>
          <w:p>
            <w:pPr>
              <w:spacing w:before="40" w:after="40" w:line="264" w:lineRule="auto"/>
            </w:pPr>
            <w:r>
              <w:rPr>
                <w:rFonts w:ascii="Arial" w:hAnsi="Arial"/>
                <w:b/>
                <w:color w:val="111111"/>
                <w:sz w:val="15"/>
              </w:rPr>
              <w:t>Prüfung nicht bestanden</w:t>
            </w:r>
          </w:p>
        </w:tc>
        <w:tc>
          <w:tcPr>
            <w:tcW w:type="dxa" w:w="6827"/>
            <w:tcMar>
              <w:left w:w="80" w:type="dxa"/>
              <w:right w:w="80" w:type="dxa"/>
            </w:tcMar>
          </w:tcPr>
          <w:p>
            <w:pPr>
              <w:spacing w:before="40" w:after="40" w:line="264" w:lineRule="auto"/>
            </w:pPr>
            <w:r>
              <w:rPr>
                <w:rFonts w:ascii="Arial" w:hAnsi="Arial"/>
                <w:b w:val="0"/>
                <w:color w:val="111111"/>
                <w:sz w:val="15"/>
              </w:rPr>
              <w:t>Bescheid und Rechtsbehelfsbelehrung lesen, Fristen für Widerspruch und Wiederholung notieren.</w:t>
            </w:r>
          </w:p>
        </w:tc>
      </w:tr>
      <w:tr>
        <w:tc>
          <w:tcPr>
            <w:tcW w:type="dxa" w:w="2811"/>
            <w:tcMar>
              <w:left w:w="80" w:type="dxa"/>
              <w:right w:w="80" w:type="dxa"/>
            </w:tcMar>
          </w:tcPr>
          <w:p>
            <w:pPr>
              <w:spacing w:before="40" w:after="40" w:line="264" w:lineRule="auto"/>
            </w:pPr>
            <w:r>
              <w:rPr>
                <w:rFonts w:ascii="Arial" w:hAnsi="Arial"/>
                <w:b/>
                <w:color w:val="111111"/>
                <w:sz w:val="15"/>
              </w:rPr>
              <w:t>Wiederholungsprüfung anmelden</w:t>
            </w:r>
          </w:p>
        </w:tc>
        <w:tc>
          <w:tcPr>
            <w:tcW w:type="dxa" w:w="6827"/>
            <w:tcMar>
              <w:left w:w="80" w:type="dxa"/>
              <w:right w:w="80" w:type="dxa"/>
            </w:tcMar>
          </w:tcPr>
          <w:p>
            <w:pPr>
              <w:spacing w:before="40" w:after="40" w:line="264" w:lineRule="auto"/>
            </w:pPr>
            <w:r>
              <w:rPr>
                <w:rFonts w:ascii="Arial" w:hAnsi="Arial"/>
                <w:b w:val="0"/>
                <w:color w:val="111111"/>
                <w:sz w:val="15"/>
              </w:rPr>
              <w:t>Eigene Frist und eigene Regel zur Anzahl der Versuche aus der Prüfungsordnung beachten.</w:t>
            </w:r>
          </w:p>
        </w:tc>
      </w:tr>
      <w:tr>
        <w:tc>
          <w:tcPr>
            <w:tcW w:type="dxa" w:w="2811"/>
            <w:tcMar>
              <w:left w:w="80" w:type="dxa"/>
              <w:right w:w="80" w:type="dxa"/>
            </w:tcMar>
          </w:tcPr>
          <w:p>
            <w:pPr>
              <w:spacing w:before="40" w:after="40" w:line="264" w:lineRule="auto"/>
            </w:pPr>
            <w:r>
              <w:rPr>
                <w:rFonts w:ascii="Arial" w:hAnsi="Arial"/>
                <w:b/>
                <w:color w:val="111111"/>
                <w:sz w:val="15"/>
              </w:rPr>
              <w:t>Nachteilsausgleich beantragen</w:t>
            </w:r>
          </w:p>
        </w:tc>
        <w:tc>
          <w:tcPr>
            <w:tcW w:type="dxa" w:w="6827"/>
            <w:tcMar>
              <w:left w:w="80" w:type="dxa"/>
              <w:right w:w="80" w:type="dxa"/>
            </w:tcMar>
          </w:tcPr>
          <w:p>
            <w:pPr>
              <w:spacing w:before="40" w:after="40" w:line="264" w:lineRule="auto"/>
            </w:pPr>
            <w:r>
              <w:rPr>
                <w:rFonts w:ascii="Arial" w:hAnsi="Arial"/>
                <w:b w:val="0"/>
                <w:color w:val="111111"/>
                <w:sz w:val="15"/>
              </w:rPr>
              <w:t>Formlos oder mit vorgegebenem Formular möglichst früh, am besten schon zu Semesterbeginn, beantragen.</w:t>
            </w:r>
          </w:p>
        </w:tc>
      </w:tr>
      <w:tr>
        <w:tc>
          <w:tcPr>
            <w:tcW w:type="dxa" w:w="2811"/>
            <w:tcMar>
              <w:left w:w="80" w:type="dxa"/>
              <w:right w:w="80" w:type="dxa"/>
            </w:tcMar>
          </w:tcPr>
          <w:p>
            <w:pPr>
              <w:spacing w:before="40" w:after="40" w:line="264" w:lineRule="auto"/>
            </w:pPr>
            <w:r>
              <w:rPr>
                <w:rFonts w:ascii="Arial" w:hAnsi="Arial"/>
                <w:b/>
                <w:color w:val="111111"/>
                <w:sz w:val="15"/>
              </w:rPr>
              <w:t>Ergebnis oder Bescheid erhalten</w:t>
            </w:r>
          </w:p>
        </w:tc>
        <w:tc>
          <w:tcPr>
            <w:tcW w:type="dxa" w:w="6827"/>
            <w:tcMar>
              <w:left w:w="80" w:type="dxa"/>
              <w:right w:w="80" w:type="dxa"/>
            </w:tcMar>
          </w:tcPr>
          <w:p>
            <w:pPr>
              <w:spacing w:before="40" w:after="40" w:line="264" w:lineRule="auto"/>
            </w:pPr>
            <w:r>
              <w:rPr>
                <w:rFonts w:ascii="Arial" w:hAnsi="Arial"/>
                <w:b w:val="0"/>
                <w:color w:val="111111"/>
                <w:sz w:val="15"/>
              </w:rPr>
              <w:t>Datum der Bekanntgabe notieren, es ist der Ausgangspunkt für weitere Fristen.</w:t>
            </w:r>
          </w:p>
        </w:tc>
      </w:tr>
      <w:tr>
        <w:tc>
          <w:tcPr>
            <w:tcW w:type="dxa" w:w="2811"/>
            <w:tcMar>
              <w:left w:w="80" w:type="dxa"/>
              <w:right w:w="80" w:type="dxa"/>
            </w:tcMar>
          </w:tcPr>
          <w:p>
            <w:pPr>
              <w:spacing w:before="40" w:after="40" w:line="264" w:lineRule="auto"/>
            </w:pPr>
            <w:r>
              <w:rPr>
                <w:rFonts w:ascii="Arial" w:hAnsi="Arial"/>
                <w:b/>
                <w:color w:val="111111"/>
                <w:sz w:val="15"/>
              </w:rPr>
              <w:t>Akteneinsicht beantragen</w:t>
            </w:r>
          </w:p>
        </w:tc>
        <w:tc>
          <w:tcPr>
            <w:tcW w:type="dxa" w:w="6827"/>
            <w:tcMar>
              <w:left w:w="80" w:type="dxa"/>
              <w:right w:w="80" w:type="dxa"/>
            </w:tcMar>
          </w:tcPr>
          <w:p>
            <w:pPr>
              <w:spacing w:before="40" w:after="40" w:line="264" w:lineRule="auto"/>
            </w:pPr>
            <w:r>
              <w:rPr>
                <w:rFonts w:ascii="Arial" w:hAnsi="Arial"/>
                <w:b w:val="0"/>
                <w:color w:val="111111"/>
                <w:sz w:val="15"/>
              </w:rPr>
              <w:t>Formlosen Antrag beim Prüfungsamt stellen, um Klausur oder Bewertung einzusehen.</w:t>
            </w:r>
          </w:p>
        </w:tc>
      </w:tr>
      <w:tr>
        <w:tc>
          <w:tcPr>
            <w:tcW w:type="dxa" w:w="2811"/>
            <w:tcMar>
              <w:left w:w="80" w:type="dxa"/>
              <w:right w:w="80" w:type="dxa"/>
            </w:tcMar>
          </w:tcPr>
          <w:p>
            <w:pPr>
              <w:spacing w:before="40" w:after="40" w:line="264" w:lineRule="auto"/>
            </w:pPr>
            <w:r>
              <w:rPr>
                <w:rFonts w:ascii="Arial" w:hAnsi="Arial"/>
                <w:b/>
                <w:color w:val="111111"/>
                <w:sz w:val="15"/>
              </w:rPr>
              <w:t>Widerspruch einlegen</w:t>
            </w:r>
          </w:p>
        </w:tc>
        <w:tc>
          <w:tcPr>
            <w:tcW w:type="dxa" w:w="6827"/>
            <w:tcMar>
              <w:left w:w="80" w:type="dxa"/>
              <w:right w:w="80" w:type="dxa"/>
            </w:tcMar>
          </w:tcPr>
          <w:p>
            <w:pPr>
              <w:spacing w:before="40" w:after="40" w:line="264" w:lineRule="auto"/>
            </w:pPr>
            <w:r>
              <w:rPr>
                <w:rFonts w:ascii="Arial" w:hAnsi="Arial"/>
                <w:b w:val="0"/>
                <w:color w:val="111111"/>
                <w:sz w:val="15"/>
              </w:rPr>
              <w:t>Innerhalb der in der Rechtsbehelfsbelehrung genannten Frist schriftlich beim Prüfungsamt einreichen.</w:t>
            </w:r>
          </w:p>
        </w:tc>
      </w:tr>
      <w:tr>
        <w:tc>
          <w:tcPr>
            <w:tcW w:type="dxa" w:w="2811"/>
            <w:tcMar>
              <w:left w:w="80" w:type="dxa"/>
              <w:right w:w="80" w:type="dxa"/>
            </w:tcMar>
          </w:tcPr>
          <w:p>
            <w:pPr>
              <w:spacing w:before="40" w:after="40" w:line="264" w:lineRule="auto"/>
            </w:pPr>
            <w:r>
              <w:rPr>
                <w:rFonts w:ascii="Arial" w:hAnsi="Arial"/>
                <w:b/>
                <w:color w:val="111111"/>
                <w:sz w:val="15"/>
              </w:rPr>
              <w:t>Auf einen Täuschungsvorwurf reagieren</w:t>
            </w:r>
          </w:p>
        </w:tc>
        <w:tc>
          <w:tcPr>
            <w:tcW w:type="dxa" w:w="6827"/>
            <w:tcMar>
              <w:left w:w="80" w:type="dxa"/>
              <w:right w:w="80" w:type="dxa"/>
            </w:tcMar>
          </w:tcPr>
          <w:p>
            <w:pPr>
              <w:spacing w:before="40" w:after="40" w:line="264" w:lineRule="auto"/>
            </w:pPr>
            <w:r>
              <w:rPr>
                <w:rFonts w:ascii="Arial" w:hAnsi="Arial"/>
                <w:b w:val="0"/>
                <w:color w:val="111111"/>
                <w:sz w:val="15"/>
              </w:rPr>
              <w:t>Sachverhalt aus eigener Sicht zeitnah schriftlich festhalten, Anhörung und weiteres Verfahren abwarten.</w:t>
            </w:r>
          </w:p>
        </w:tc>
      </w:tr>
      <w:tr>
        <w:tc>
          <w:tcPr>
            <w:tcW w:type="dxa" w:w="2811"/>
            <w:tcMar>
              <w:left w:w="80" w:type="dxa"/>
              <w:right w:w="80" w:type="dxa"/>
            </w:tcMar>
          </w:tcPr>
          <w:p>
            <w:pPr>
              <w:spacing w:before="40" w:after="40" w:line="264" w:lineRule="auto"/>
            </w:pPr>
            <w:r>
              <w:rPr>
                <w:rFonts w:ascii="Arial" w:hAnsi="Arial"/>
                <w:b/>
                <w:color w:val="111111"/>
                <w:sz w:val="15"/>
              </w:rPr>
              <w:t>Rückmeldung fürs neue Semester</w:t>
            </w:r>
          </w:p>
        </w:tc>
        <w:tc>
          <w:tcPr>
            <w:tcW w:type="dxa" w:w="6827"/>
            <w:tcMar>
              <w:left w:w="80" w:type="dxa"/>
              <w:right w:w="80" w:type="dxa"/>
            </w:tcMar>
          </w:tcPr>
          <w:p>
            <w:pPr>
              <w:spacing w:before="40" w:after="40" w:line="264" w:lineRule="auto"/>
            </w:pPr>
            <w:r>
              <w:rPr>
                <w:rFonts w:ascii="Arial" w:hAnsi="Arial"/>
                <w:b w:val="0"/>
                <w:color w:val="111111"/>
                <w:sz w:val="15"/>
              </w:rPr>
              <w:t>Fristgerecht zurückmelden, sonst droht die Exmatrikulation von Amts wegen.</w:t>
            </w:r>
          </w:p>
        </w:tc>
      </w:tr>
      <w:tr>
        <w:tc>
          <w:tcPr>
            <w:tcW w:type="dxa" w:w="2811"/>
            <w:tcMar>
              <w:left w:w="80" w:type="dxa"/>
              <w:right w:w="80" w:type="dxa"/>
            </w:tcMar>
          </w:tcPr>
          <w:p>
            <w:pPr>
              <w:spacing w:before="40" w:after="40" w:line="264" w:lineRule="auto"/>
            </w:pPr>
            <w:r>
              <w:rPr>
                <w:rFonts w:ascii="Arial" w:hAnsi="Arial"/>
                <w:b/>
                <w:color w:val="111111"/>
                <w:sz w:val="15"/>
              </w:rPr>
              <w:t>Beurlaubung beantragen</w:t>
            </w:r>
          </w:p>
        </w:tc>
        <w:tc>
          <w:tcPr>
            <w:tcW w:type="dxa" w:w="6827"/>
            <w:tcMar>
              <w:left w:w="80" w:type="dxa"/>
              <w:right w:w="80" w:type="dxa"/>
            </w:tcMar>
          </w:tcPr>
          <w:p>
            <w:pPr>
              <w:spacing w:before="40" w:after="40" w:line="264" w:lineRule="auto"/>
            </w:pPr>
            <w:r>
              <w:rPr>
                <w:rFonts w:ascii="Arial" w:hAnsi="Arial"/>
                <w:b w:val="0"/>
                <w:color w:val="111111"/>
                <w:sz w:val="15"/>
              </w:rPr>
              <w:t>Formlosen oder vorgesehenen Antrag mit Grund und Nachweis beim zuständigen Amt stellen.</w:t>
            </w:r>
          </w:p>
        </w:tc>
      </w:tr>
      <w:tr>
        <w:tc>
          <w:tcPr>
            <w:tcW w:type="dxa" w:w="2811"/>
            <w:tcMar>
              <w:left w:w="80" w:type="dxa"/>
              <w:right w:w="80" w:type="dxa"/>
            </w:tcMar>
          </w:tcPr>
          <w:p>
            <w:pPr>
              <w:spacing w:before="40" w:after="40" w:line="264" w:lineRule="auto"/>
            </w:pPr>
            <w:r>
              <w:rPr>
                <w:rFonts w:ascii="Arial" w:hAnsi="Arial"/>
                <w:b/>
                <w:color w:val="111111"/>
                <w:sz w:val="15"/>
              </w:rPr>
              <w:t>Exmatrikulation</w:t>
            </w:r>
          </w:p>
        </w:tc>
        <w:tc>
          <w:tcPr>
            <w:tcW w:type="dxa" w:w="6827"/>
            <w:tcMar>
              <w:left w:w="80" w:type="dxa"/>
              <w:right w:w="80" w:type="dxa"/>
            </w:tcMar>
          </w:tcPr>
          <w:p>
            <w:pPr>
              <w:spacing w:before="40" w:after="40" w:line="264" w:lineRule="auto"/>
            </w:pPr>
            <w:r>
              <w:rPr>
                <w:rFonts w:ascii="Arial" w:hAnsi="Arial"/>
                <w:b w:val="0"/>
                <w:color w:val="111111"/>
                <w:sz w:val="15"/>
              </w:rPr>
              <w:t>Freiwillig beantragen oder Gründe für eine Exmatrikulation von Amts wegen (etwa endgültig nicht bestanden) in der Prüfungsordnung nachlesen.</w:t>
            </w:r>
          </w:p>
        </w:tc>
      </w:tr>
    </w:tbl>
    <w:p>
      <w:pPr>
        <w:spacing w:before="0" w:after="120" w:line="276" w:lineRule="auto"/>
      </w:pPr>
    </w:p>
    <w:p>
      <w:pPr>
        <w:spacing w:before="280" w:after="120" w:line="276" w:lineRule="auto"/>
      </w:pPr>
      <w:r>
        <w:rPr>
          <w:rFonts w:ascii="Arial" w:hAnsi="Arial"/>
          <w:b/>
          <w:i w:val="0"/>
          <w:color w:val="111111"/>
          <w:sz w:val="24"/>
        </w:rPr>
        <w:t>Nachteilsausgleich</w:t>
      </w:r>
    </w:p>
    <w:p>
      <w:pPr>
        <w:spacing w:before="0" w:after="60" w:line="276" w:lineRule="auto"/>
        <w:ind w:left="340" w:hanging="340"/>
      </w:pPr>
      <w:r>
        <w:rPr>
          <w:color w:val="00A85A"/>
        </w:rPr>
        <w:t xml:space="preserve">▪  </w:t>
      </w:r>
      <w:r>
        <w:rPr>
          <w:rFonts w:ascii="Arial" w:hAnsi="Arial"/>
          <w:sz w:val="22"/>
        </w:rPr>
        <w:t>Wer: Studierende mit Behinderung, chronischer Erkrankung oder einer vergleichbaren, ärztlich belegten Beeinträchtigung.</w:t>
      </w:r>
    </w:p>
    <w:p>
      <w:pPr>
        <w:spacing w:before="0" w:after="60" w:line="276" w:lineRule="auto"/>
        <w:ind w:left="340" w:hanging="340"/>
      </w:pPr>
      <w:r>
        <w:rPr>
          <w:color w:val="00A85A"/>
        </w:rPr>
        <w:t xml:space="preserve">▪  </w:t>
      </w:r>
      <w:r>
        <w:rPr>
          <w:rFonts w:ascii="Arial" w:hAnsi="Arial"/>
          <w:sz w:val="22"/>
        </w:rPr>
        <w:t>Wofür: zum Beispiel mehr Bearbeitungszeit, eine andere Prüfungsform oder Hilfsmittel, je nach Art der Beeinträchtigung.</w:t>
      </w:r>
    </w:p>
    <w:p>
      <w:pPr>
        <w:spacing w:before="0" w:after="60" w:line="276" w:lineRule="auto"/>
        <w:ind w:left="340" w:hanging="340"/>
      </w:pPr>
      <w:r>
        <w:rPr>
          <w:color w:val="00A85A"/>
        </w:rPr>
        <w:t xml:space="preserve">▪  </w:t>
      </w:r>
      <w:r>
        <w:rPr>
          <w:rFonts w:ascii="Arial" w:hAnsi="Arial"/>
          <w:sz w:val="22"/>
        </w:rPr>
        <w:t>Wie beantragt: formlos oder mit einem Formular beim Prüfungsamt, meist mit ärztlichem oder amtsärztlichem Nachweis, möglichst deutlich vor der Prüfung.</w:t>
      </w:r>
    </w:p>
    <w:p>
      <w:pPr>
        <w:spacing w:before="0" w:after="60" w:line="276" w:lineRule="auto"/>
        <w:ind w:left="340" w:hanging="340"/>
      </w:pPr>
      <w:r>
        <w:rPr>
          <w:color w:val="00A85A"/>
        </w:rPr>
        <w:t xml:space="preserve">▪  </w:t>
      </w:r>
      <w:r>
        <w:rPr>
          <w:rFonts w:ascii="Arial" w:hAnsi="Arial"/>
          <w:sz w:val="22"/>
        </w:rPr>
        <w:t>Der Nachweis muss die Beeinträchtigung und ihre Auswirkung auf die Prüfungssituation beschreiben, nicht nur eine Diagnose nennen.</w:t>
      </w:r>
    </w:p>
    <w:p>
      <w:pPr>
        <w:spacing w:before="280" w:after="120" w:line="276" w:lineRule="auto"/>
      </w:pPr>
      <w:r>
        <w:rPr>
          <w:rFonts w:ascii="Arial" w:hAnsi="Arial"/>
          <w:b/>
          <w:i w:val="0"/>
          <w:color w:val="111111"/>
          <w:sz w:val="24"/>
        </w:rPr>
        <w:t>Akteneinsicht</w:t>
      </w:r>
    </w:p>
    <w:p>
      <w:pPr>
        <w:spacing w:before="0" w:after="120" w:line="276" w:lineRule="auto"/>
      </w:pPr>
      <w:r>
        <w:rPr>
          <w:rFonts w:ascii="Arial" w:hAnsi="Arial"/>
          <w:b w:val="0"/>
          <w:i w:val="0"/>
          <w:color w:val="111111"/>
          <w:sz w:val="22"/>
        </w:rPr>
        <w:t>Nach einer Prüfung darfst du in der Regel Einsicht in deine eigene Klausur oder Bewertung nehmen, meist auf formlosen Antrag beim Prüfungsamt. Die Akteneinsicht zeigt die Grundlage der Bewertung und ist oft der erste Schritt, bevor ein Widerspruch überhaupt sinnvoll geprüft werden kann.</w:t>
      </w:r>
    </w:p>
    <w:p>
      <w:pPr>
        <w:spacing w:before="280" w:after="120" w:line="276" w:lineRule="auto"/>
      </w:pPr>
      <w:r>
        <w:rPr>
          <w:rFonts w:ascii="Arial" w:hAnsi="Arial"/>
          <w:b/>
          <w:i w:val="0"/>
          <w:color w:val="111111"/>
          <w:sz w:val="24"/>
        </w:rPr>
        <w:t>Widerspruch gegen eine Note</w:t>
      </w:r>
    </w:p>
    <w:p>
      <w:pPr>
        <w:spacing w:before="0" w:after="120" w:line="276" w:lineRule="auto"/>
      </w:pPr>
      <w:r>
        <w:rPr>
          <w:rFonts w:ascii="Arial" w:hAnsi="Arial"/>
          <w:b w:val="0"/>
          <w:i w:val="0"/>
          <w:color w:val="111111"/>
          <w:sz w:val="22"/>
        </w:rPr>
        <w:t>Gegen einen Prüfungsbescheid ist häufig ein Widerspruch innerhalb eines Monats ab Bekanntgabe möglich, das steht in der Rechtsbehelfsbelehrung des Bescheids. Fehlt diese Belehrung oder ist sie falsch, verlängert sich die Frist nach allgemeinen verwaltungsrechtlichen Grundsätzen. Ob und in welcher Form an deiner Hochschule überhaupt Widerspruch möglich ist (manche Bundesländer sehen stattdessen direkt eine Klage vor), steht im Bescheid selbst oder bei der Rechtsberatung deiner Hochschule.</w:t>
      </w:r>
    </w:p>
    <w:p>
      <w:pPr>
        <w:spacing w:before="280" w:after="120" w:line="276" w:lineRule="auto"/>
      </w:pPr>
      <w:r>
        <w:rPr>
          <w:rFonts w:ascii="Arial" w:hAnsi="Arial"/>
          <w:b/>
          <w:i w:val="0"/>
          <w:color w:val="111111"/>
          <w:sz w:val="24"/>
        </w:rPr>
        <w:t>Täuschungsvorwurf: was dann passiert</w:t>
      </w:r>
    </w:p>
    <w:p>
      <w:pPr>
        <w:spacing w:before="0" w:after="60" w:line="276" w:lineRule="auto"/>
        <w:ind w:left="340" w:hanging="340"/>
      </w:pPr>
      <w:r>
        <w:rPr>
          <w:color w:val="00A85A"/>
        </w:rPr>
        <w:t xml:space="preserve">▪  </w:t>
      </w:r>
      <w:r>
        <w:rPr>
          <w:rFonts w:ascii="Arial" w:hAnsi="Arial"/>
          <w:sz w:val="22"/>
        </w:rPr>
        <w:t>Der Vorfall wird meist protokolliert, oft darfst du die Prüfung zunächst fortsetzen, bis endgültig entschieden ist.</w:t>
      </w:r>
    </w:p>
    <w:p>
      <w:pPr>
        <w:spacing w:before="0" w:after="60" w:line="276" w:lineRule="auto"/>
        <w:ind w:left="340" w:hanging="340"/>
      </w:pPr>
      <w:r>
        <w:rPr>
          <w:color w:val="00A85A"/>
        </w:rPr>
        <w:t xml:space="preserve">▪  </w:t>
      </w:r>
      <w:r>
        <w:rPr>
          <w:rFonts w:ascii="Arial" w:hAnsi="Arial"/>
          <w:sz w:val="22"/>
        </w:rPr>
        <w:t>Es folgt in der Regel eine Anhörung, bei der du deine Sicht der Dinge darstellen kannst, bevor eine Entscheidung fällt.</w:t>
      </w:r>
    </w:p>
    <w:p>
      <w:pPr>
        <w:spacing w:before="0" w:after="60" w:line="276" w:lineRule="auto"/>
        <w:ind w:left="340" w:hanging="340"/>
      </w:pPr>
      <w:r>
        <w:rPr>
          <w:color w:val="00A85A"/>
        </w:rPr>
        <w:t xml:space="preserve">▪  </w:t>
      </w:r>
      <w:r>
        <w:rPr>
          <w:rFonts w:ascii="Arial" w:hAnsi="Arial"/>
          <w:sz w:val="22"/>
        </w:rPr>
        <w:t>Mögliche Folgen reichen von der Bewertung einzelner Aufgaben als nicht erbracht bis zur gesamten Prüfung als nicht bestanden, je nach Schwere laut Prüfungsordnung.</w:t>
      </w:r>
    </w:p>
    <w:p>
      <w:pPr>
        <w:spacing w:before="0" w:after="60" w:line="276" w:lineRule="auto"/>
        <w:ind w:left="340" w:hanging="340"/>
      </w:pPr>
      <w:r>
        <w:rPr>
          <w:color w:val="00A85A"/>
        </w:rPr>
        <w:t xml:space="preserve">▪  </w:t>
      </w:r>
      <w:r>
        <w:rPr>
          <w:rFonts w:ascii="Arial" w:hAnsi="Arial"/>
          <w:sz w:val="22"/>
        </w:rPr>
        <w:t>Gegen die Entscheidung ist wie bei anderen Bescheiden ein Widerspruch möglich, die Frist steht in der Rechtsbehelfsbelehrung des Bescheids.</w:t>
      </w:r>
    </w:p>
    <w:p>
      <w:pPr>
        <w:spacing w:before="280" w:after="120" w:line="276" w:lineRule="auto"/>
      </w:pPr>
      <w:r>
        <w:rPr>
          <w:rFonts w:ascii="Arial" w:hAnsi="Arial"/>
          <w:b/>
          <w:i w:val="0"/>
          <w:color w:val="111111"/>
          <w:sz w:val="24"/>
        </w:rPr>
        <w:t>Rückmeldung, Beurlaubung und Exmatrikulation</w:t>
      </w:r>
    </w:p>
    <w:p>
      <w:pPr>
        <w:spacing w:before="0" w:after="60" w:line="276" w:lineRule="auto"/>
        <w:ind w:left="340" w:hanging="340"/>
      </w:pPr>
      <w:r>
        <w:rPr>
          <w:color w:val="00A85A"/>
        </w:rPr>
        <w:t xml:space="preserve">▪  </w:t>
      </w:r>
      <w:r>
        <w:rPr>
          <w:rFonts w:ascii="Arial" w:hAnsi="Arial"/>
          <w:sz w:val="22"/>
        </w:rPr>
        <w:t>Rückmeldung: die fristgerechte Bestätigung, dass du im nächsten Semester weiterstudierst, meist verbunden mit dem Semesterbeitrag (Studierendenwerk und weitere Anteile).</w:t>
      </w:r>
    </w:p>
    <w:p>
      <w:pPr>
        <w:spacing w:before="0" w:after="60" w:line="276" w:lineRule="auto"/>
        <w:ind w:left="340" w:hanging="340"/>
      </w:pPr>
      <w:r>
        <w:rPr>
          <w:color w:val="00A85A"/>
        </w:rPr>
        <w:t xml:space="preserve">▪  </w:t>
      </w:r>
      <w:r>
        <w:rPr>
          <w:rFonts w:ascii="Arial" w:hAnsi="Arial"/>
          <w:sz w:val="22"/>
        </w:rPr>
        <w:t>Beurlaubung: setzt das Studium formal für ein oder mehrere Semester aus, oft mit Grund und Nachweis, etwa bei Krankheit, Auslandsaufenthalt außerhalb eines anerkannten Programms oder Kinderbetreuung.</w:t>
      </w:r>
    </w:p>
    <w:p>
      <w:pPr>
        <w:spacing w:before="0" w:after="60" w:line="276" w:lineRule="auto"/>
        <w:ind w:left="340" w:hanging="340"/>
      </w:pPr>
      <w:r>
        <w:rPr>
          <w:color w:val="00A85A"/>
        </w:rPr>
        <w:t xml:space="preserve">▪  </w:t>
      </w:r>
      <w:r>
        <w:rPr>
          <w:rFonts w:ascii="Arial" w:hAnsi="Arial"/>
          <w:sz w:val="22"/>
        </w:rPr>
        <w:t>Exmatrikulation: kann freiwillig beantragt werden oder von Amts wegen erfolgen, etwa nach endgültig nicht bestandener Prüfung oder versäumter Rückmeldung. Die genauen Gründe stehen in der Prüfungsordnung oder der Immatrikulationsordnung der Hochschule.</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Ein Bescheid wird hingenommen, ohne die Rechtsbehelfsbelehrung zu lesen, dabei beginnt dort die Frist für einen Widerspruch.</w:t>
      </w:r>
    </w:p>
    <w:p>
      <w:pPr>
        <w:spacing w:before="0" w:after="60" w:line="276" w:lineRule="auto"/>
        <w:ind w:left="340" w:hanging="340"/>
      </w:pPr>
      <w:r>
        <w:rPr>
          <w:color w:val="00A85A"/>
        </w:rPr>
        <w:t xml:space="preserve">▪  </w:t>
      </w:r>
      <w:r>
        <w:rPr>
          <w:rFonts w:ascii="Arial" w:hAnsi="Arial"/>
          <w:sz w:val="22"/>
        </w:rPr>
        <w:t>Nachteilsausgleich wird erst am Prüfungstag angesprochen statt rechtzeitig vorher formal beantragt.</w:t>
      </w:r>
    </w:p>
    <w:p>
      <w:pPr>
        <w:spacing w:before="0" w:after="60" w:line="276" w:lineRule="auto"/>
        <w:ind w:left="340" w:hanging="340"/>
      </w:pPr>
      <w:r>
        <w:rPr>
          <w:color w:val="00A85A"/>
        </w:rPr>
        <w:t xml:space="preserve">▪  </w:t>
      </w:r>
      <w:r>
        <w:rPr>
          <w:rFonts w:ascii="Arial" w:hAnsi="Arial"/>
          <w:sz w:val="22"/>
        </w:rPr>
        <w:t>Eine Frist wird nach einem Erfahrungswert aus dem Bekanntenkreis angenommen statt in der eigenen Prüfungsordnung oder im eigenen Bescheid nachzulesen.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Prüfungsrecht und Fristen: Merkzettel für Rechte im Studium</dc:title>
  <dc:subject>Merkzettel zum Ausdrucken, drei Seiten</dc:subject>
  <dc:creator>korrektur.de</dc:creator>
  <cp:keywords>Prüfungsordnung, Nachteilsausgleich, Widerspruch, Rücktritt, Täuschung, Exmatrikulation, Merkzettel</cp:keywords>
  <dc:description>Kostenlose Vorlage von korrektur.de. Aktuelle Fassung: https://korrektur.de/pruefungsordnung-verstehen</dc:description>
  <cp:lastModifiedBy>korrektur.de</cp:lastModifiedBy>
  <cp:revision>1</cp:revision>
  <dcterms:created xsi:type="dcterms:W3CDTF">2013-12-23T23:15:00Z</dcterms:created>
  <dcterms:modified xsi:type="dcterms:W3CDTF">2013-12-23T23:15:00Z</dcterms:modified>
  <cp:category>Vorlage</cp:category>
</cp:coreProperties>
</file>