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40" w:after="440"/>
        <w:pBdr>
          <w:bottom w:val="single" w:sz="18" w:space="10" w:color="00A85A"/>
        </w:pBdr>
      </w:pPr>
      <w:r>
        <w:drawing>
          <wp:inline xmlns:a="http://schemas.openxmlformats.org/drawingml/2006/main" xmlns:pic="http://schemas.openxmlformats.org/drawingml/2006/picture">
            <wp:extent cx="1562100" cy="304800"/>
            <wp:docPr id="1" name="Picture 1"/>
            <wp:cNvGraphicFramePr>
              <a:graphicFrameLocks noChangeAspect="1"/>
            </wp:cNvGraphicFramePr>
            <a:graphic>
              <a:graphicData uri="http://schemas.openxmlformats.org/drawingml/2006/picture">
                <pic:pic>
                  <pic:nvPicPr>
                    <pic:cNvPr id="0" name="korrektur-wortmarke-vorlagen.png"/>
                    <pic:cNvPicPr/>
                  </pic:nvPicPr>
                  <pic:blipFill>
                    <a:blip r:embed="rId10"/>
                    <a:stretch>
                      <a:fillRect/>
                    </a:stretch>
                  </pic:blipFill>
                  <pic:spPr>
                    <a:xfrm>
                      <a:off x="0" y="0"/>
                      <a:ext cx="1562100" cy="304800"/>
                    </a:xfrm>
                    <a:prstGeom prst="rect"/>
                  </pic:spPr>
                </pic:pic>
              </a:graphicData>
            </a:graphic>
          </wp:inline>
        </w:drawing>
      </w:r>
    </w:p>
    <w:p>
      <w:pPr>
        <w:spacing w:before="80" w:after="180" w:line="276" w:lineRule="auto"/>
      </w:pPr>
      <w:r>
        <w:rPr>
          <w:rFonts w:ascii="Arial" w:hAnsi="Arial"/>
          <w:b/>
          <w:i w:val="0"/>
          <w:color w:val="006B46"/>
          <w:sz w:val="17"/>
        </w:rPr>
        <w:t>MERKZETTEL ZUM FREIEN GEBRAUCH</w:t>
      </w:r>
    </w:p>
    <w:p>
      <w:pPr>
        <w:spacing w:before="0" w:after="280" w:line="252" w:lineRule="auto"/>
      </w:pPr>
      <w:r>
        <w:rPr>
          <w:rFonts w:ascii="Arial" w:hAnsi="Arial"/>
          <w:b/>
          <w:i w:val="0"/>
          <w:color w:val="111111"/>
          <w:sz w:val="38"/>
        </w:rPr>
        <w:t>Pronomen auf zwei Seiten</w:t>
      </w:r>
    </w:p>
    <w:p>
      <w:pPr>
        <w:spacing w:before="0" w:after="160" w:line="276" w:lineRule="auto"/>
      </w:pPr>
      <w:r>
        <w:rPr>
          <w:rFonts w:ascii="Arial" w:hAnsi="Arial"/>
          <w:b w:val="0"/>
          <w:i w:val="0"/>
          <w:color w:val="111111"/>
          <w:sz w:val="22"/>
        </w:rPr>
        <w:t>Auf den nächsten zwei Seiten stehen alle Pronomenarten mit ihren Formen, dazu Faustregeln für Bezug und Fall und die typischen Verwechslungen wie „derselbe“ und „der gleiche“.</w:t>
      </w:r>
    </w:p>
    <w:p>
      <w:pPr>
        <w:spacing w:before="280" w:after="120" w:line="276" w:lineRule="auto"/>
      </w:pPr>
      <w:r>
        <w:rPr>
          <w:rFonts w:ascii="Arial" w:hAnsi="Arial"/>
          <w:b/>
          <w:i w:val="0"/>
          <w:color w:val="111111"/>
          <w:sz w:val="24"/>
        </w:rPr>
        <w:t>So nutzt du den Merkzettel</w:t>
      </w:r>
    </w:p>
    <w:p>
      <w:pPr>
        <w:spacing w:before="0" w:after="80" w:line="276" w:lineRule="auto"/>
        <w:ind w:left="425" w:hanging="425"/>
      </w:pPr>
      <w:r>
        <w:rPr>
          <w:rFonts w:ascii="Arial" w:hAnsi="Arial"/>
          <w:b/>
          <w:color w:val="006B46"/>
        </w:rPr>
        <w:t xml:space="preserve">1.  </w:t>
      </w:r>
      <w:r>
        <w:rPr>
          <w:rFonts w:ascii="Arial" w:hAnsi="Arial"/>
          <w:sz w:val="22"/>
        </w:rPr>
        <w:t>Drucke nur die Seiten ab Seite 2. Diese Anleitungsseite brauchst du nicht an der Wand.</w:t>
      </w:r>
    </w:p>
    <w:p>
      <w:pPr>
        <w:spacing w:before="0" w:after="80" w:line="276" w:lineRule="auto"/>
        <w:ind w:left="425" w:hanging="425"/>
      </w:pPr>
      <w:r>
        <w:rPr>
          <w:rFonts w:ascii="Arial" w:hAnsi="Arial"/>
          <w:b/>
          <w:color w:val="006B46"/>
        </w:rPr>
        <w:t xml:space="preserve">2.  </w:t>
      </w:r>
      <w:r>
        <w:rPr>
          <w:rFonts w:ascii="Arial" w:hAnsi="Arial"/>
          <w:sz w:val="22"/>
        </w:rPr>
        <w:t>Häng den Zettel dorthin, wo du schreibst, oder leg ihn vorn in die Mappe. Ein Merkzettel wirkt nur, wenn er im Blick ist.</w:t>
      </w:r>
    </w:p>
    <w:p>
      <w:pPr>
        <w:spacing w:before="0" w:after="80" w:line="276" w:lineRule="auto"/>
        <w:ind w:left="425" w:hanging="425"/>
      </w:pPr>
      <w:r>
        <w:rPr>
          <w:rFonts w:ascii="Arial" w:hAnsi="Arial"/>
          <w:b/>
          <w:color w:val="006B46"/>
        </w:rPr>
        <w:t xml:space="preserve">3.  </w:t>
      </w:r>
      <w:r>
        <w:rPr>
          <w:rFonts w:ascii="Arial" w:hAnsi="Arial"/>
          <w:sz w:val="22"/>
        </w:rPr>
        <w:t>Lies beim Überarbeiten einmal nur nach diesem Zettel durch den Text. Eine Regel pro Durchgang findet mehr als alle auf einmal.</w:t>
      </w:r>
    </w:p>
    <w:p>
      <w:pPr>
        <w:spacing w:before="0" w:after="80" w:line="276" w:lineRule="auto"/>
        <w:ind w:left="425" w:hanging="425"/>
      </w:pPr>
      <w:r>
        <w:rPr>
          <w:rFonts w:ascii="Arial" w:hAnsi="Arial"/>
          <w:b/>
          <w:color w:val="006B46"/>
        </w:rPr>
        <w:t xml:space="preserve">4.  </w:t>
      </w:r>
      <w:r>
        <w:rPr>
          <w:rFonts w:ascii="Arial" w:hAnsi="Arial"/>
          <w:sz w:val="22"/>
        </w:rPr>
        <w:t>Die Word-Datei darfst du kürzen und ergänzen: streich, was du sicher kannst, und trag deine eigenen Stolperstellen ein.</w:t>
      </w:r>
    </w:p>
    <w:p>
      <w:pPr>
        <w:spacing w:before="280" w:after="120" w:line="276" w:lineRule="auto"/>
      </w:pPr>
      <w:r>
        <w:rPr>
          <w:rFonts w:ascii="Arial" w:hAnsi="Arial"/>
          <w:b/>
          <w:i w:val="0"/>
          <w:color w:val="111111"/>
          <w:sz w:val="24"/>
        </w:rPr>
        <w:t>Wofür der Zettel gedacht ist</w:t>
      </w:r>
    </w:p>
    <w:p>
      <w:pPr>
        <w:spacing w:before="0" w:after="80" w:line="276" w:lineRule="auto"/>
        <w:ind w:left="340" w:hanging="340"/>
      </w:pPr>
      <w:r>
        <w:rPr>
          <w:color w:val="00A85A"/>
        </w:rPr>
        <w:t xml:space="preserve">▪  </w:t>
      </w:r>
      <w:r>
        <w:rPr>
          <w:rFonts w:ascii="Arial" w:hAnsi="Arial"/>
          <w:sz w:val="22"/>
        </w:rPr>
        <w:t>Hausarbeiten, Bewerbungen, Berichte: überall dort, wo ein Pronomen den falschen Bezug oder Fall trägt.</w:t>
      </w:r>
    </w:p>
    <w:p>
      <w:pPr>
        <w:spacing w:before="0" w:after="80" w:line="276" w:lineRule="auto"/>
        <w:ind w:left="340" w:hanging="340"/>
      </w:pPr>
      <w:r>
        <w:rPr>
          <w:color w:val="00A85A"/>
        </w:rPr>
        <w:t xml:space="preserve">▪  </w:t>
      </w:r>
      <w:r>
        <w:rPr>
          <w:rFonts w:ascii="Arial" w:hAnsi="Arial"/>
          <w:sz w:val="22"/>
        </w:rPr>
        <w:t>Der letzte Korrekturgang: einmal gezielt jedes Pronomen auf Bezugswort und Fall prüfen.</w:t>
      </w:r>
    </w:p>
    <w:p>
      <w:pPr>
        <w:spacing w:before="0" w:after="80" w:line="276" w:lineRule="auto"/>
        <w:ind w:left="340" w:hanging="340"/>
      </w:pPr>
      <w:r>
        <w:rPr>
          <w:color w:val="00A85A"/>
        </w:rPr>
        <w:t xml:space="preserve">▪  </w:t>
      </w:r>
      <w:r>
        <w:rPr>
          <w:rFonts w:ascii="Arial" w:hAnsi="Arial"/>
          <w:sz w:val="22"/>
        </w:rPr>
        <w:t>Schülerinnen, Schüler und alle, die Deutsch als Fremdsprache lernen.</w:t>
      </w:r>
    </w:p>
    <w:p>
      <w:pPr>
        <w:spacing w:before="280" w:after="120" w:line="276" w:lineRule="auto"/>
      </w:pPr>
      <w:r>
        <w:rPr>
          <w:rFonts w:ascii="Arial" w:hAnsi="Arial"/>
          <w:b/>
          <w:i w:val="0"/>
          <w:color w:val="111111"/>
          <w:sz w:val="24"/>
        </w:rPr>
        <w:t>Was uns in der Korrektur dazu am häufigsten begegnet</w:t>
      </w:r>
    </w:p>
    <w:p>
      <w:pPr>
        <w:spacing w:before="0" w:after="80" w:line="276" w:lineRule="auto"/>
        <w:ind w:left="340" w:hanging="340"/>
      </w:pPr>
      <w:r>
        <w:rPr>
          <w:color w:val="00A85A"/>
        </w:rPr>
        <w:t xml:space="preserve">▪  </w:t>
      </w:r>
      <w:r>
        <w:rPr>
          <w:rFonts w:ascii="Arial" w:hAnsi="Arial"/>
          <w:sz w:val="22"/>
        </w:rPr>
        <w:t>„Dessen“ und „deren“ werden verwechselt, weil beide auf ein vorher genanntes Nomen zurückweisen.</w:t>
      </w:r>
    </w:p>
    <w:p>
      <w:pPr>
        <w:spacing w:before="0" w:after="80" w:line="276" w:lineRule="auto"/>
        <w:ind w:left="340" w:hanging="340"/>
      </w:pPr>
      <w:r>
        <w:rPr>
          <w:color w:val="00A85A"/>
        </w:rPr>
        <w:t xml:space="preserve">▪  </w:t>
      </w:r>
      <w:r>
        <w:rPr>
          <w:rFonts w:ascii="Arial" w:hAnsi="Arial"/>
          <w:sz w:val="22"/>
        </w:rPr>
        <w:t>„Derselbe“ (echte Identität) und „der gleiche“ (nur Übereinstimmung in der Art) werden gleichgesetzt.</w:t>
      </w:r>
    </w:p>
    <w:p>
      <w:pPr>
        <w:spacing w:before="0" w:after="80" w:line="276" w:lineRule="auto"/>
        <w:ind w:left="340" w:hanging="340"/>
      </w:pPr>
      <w:r>
        <w:rPr>
          <w:color w:val="00A85A"/>
        </w:rPr>
        <w:t xml:space="preserve">▪  </w:t>
      </w:r>
      <w:r>
        <w:rPr>
          <w:rFonts w:ascii="Arial" w:hAnsi="Arial"/>
          <w:sz w:val="22"/>
        </w:rPr>
        <w:t>Das Relativpronomen bezieht sich auf das falsche Wort im Hauptsatz, meist weil das nächste Nomen näher steht.</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638"/>
      </w:tblGrid>
      <w:tr>
        <w:tc>
          <w:tcPr>
            <w:tcW w:type="dxa" w:w="9638"/>
            <w:shd w:val="clear" w:color="auto" w:fill="F2F8F4"/>
            <w:tcBorders>
              <w:left w:val="single" w:sz="24" w:space="0" w:color="00A85A"/>
            </w:tcBorders>
          </w:tcPr>
          <w:p>
            <w:pPr>
              <w:spacing w:before="120" w:after="60"/>
            </w:pPr>
            <w:r>
              <w:rPr>
                <w:rFonts w:ascii="Arial" w:hAnsi="Arial"/>
                <w:b/>
                <w:color w:val="111111"/>
                <w:sz w:val="22"/>
              </w:rPr>
              <w:t>Wenn es darauf ankommt</w:t>
            </w:r>
          </w:p>
          <w:p>
            <w:pPr>
              <w:spacing w:after="120"/>
            </w:pPr>
            <w:r>
              <w:rPr>
                <w:rFonts w:ascii="Arial" w:hAnsi="Arial"/>
                <w:sz w:val="20"/>
              </w:rPr>
              <w:t xml:space="preserve">Ein falsches Pronomen verschiebt den Bezug im ganzen Satz. Wir lesen Zeichensetzung, Rechtschreibung, Grammatik und Ausdruck gegen: </w:t>
            </w:r>
            <w:hyperlink r:id="rId11">
              <w:r>
                <w:rPr>
                  <w:rFonts w:ascii="Arial" w:hAnsi="Arial"/>
                  <w:color w:val="006B46"/>
                  <w:b/>
                  <w:u w:val="single"/>
                </w:rPr>
                <w:t>korrektur.de</w:t>
              </w:r>
            </w:hyperlink>
          </w:p>
        </w:tc>
      </w:tr>
    </w:tbl>
    <w:p>
      <w:pPr>
        <w:spacing w:before="40" w:after="80" w:line="276" w:lineRule="auto"/>
      </w:pPr>
      <w:r>
        <w:rPr>
          <w:rFonts w:ascii="Arial" w:hAnsi="Arial"/>
          <w:b w:val="0"/>
          <w:i w:val="0"/>
          <w:color w:val="555555"/>
          <w:sz w:val="18"/>
        </w:rPr>
        <w:t>Diesen Merkzettel darfst du frei nutzen, anpassen und weitergeben. Erstellt von korrektur.de. Stand: September 2026.</w:t>
      </w:r>
    </w:p>
    <w:p>
      <w:pPr>
        <w:sectPr>
          <w:footerReference w:type="default" r:id="rId9"/>
          <w:pgSz w:w="11906" w:h="16838"/>
          <w:pgMar w:top="1020" w:right="1134" w:bottom="1020" w:left="1134" w:header="720" w:footer="720" w:gutter="0"/>
          <w:cols w:space="720"/>
          <w:docGrid w:linePitch="360"/>
          <w:pgNumType w:fmt="decimal" w:start="1"/>
        </w:sectPr>
      </w:pPr>
    </w:p>
    <w:p>
      <w:pPr>
        <w:spacing w:before="80" w:after="180" w:line="276" w:lineRule="auto"/>
      </w:pPr>
      <w:r>
        <w:rPr>
          <w:rFonts w:ascii="Arial" w:hAnsi="Arial"/>
          <w:b/>
          <w:i w:val="0"/>
          <w:color w:val="006B46"/>
          <w:sz w:val="17"/>
        </w:rPr>
        <w:t>MERKZETTEL WORTARTEN</w:t>
      </w:r>
    </w:p>
    <w:p>
      <w:pPr>
        <w:spacing w:before="0" w:after="280" w:line="252" w:lineRule="auto"/>
      </w:pPr>
      <w:r>
        <w:rPr>
          <w:rFonts w:ascii="Arial" w:hAnsi="Arial"/>
          <w:b/>
          <w:i w:val="0"/>
          <w:color w:val="111111"/>
          <w:sz w:val="38"/>
        </w:rPr>
        <w:t>Pronomen auf zwei Seiten</w:t>
      </w:r>
    </w:p>
    <w:tbl>
      <w:tblPr>
        <w:tblW w:type="auto" w:w="0"/>
        <w:jc w:val="left"/>
        <w:tblLook w:firstColumn="1" w:firstRow="1" w:lastColumn="0" w:lastRow="0" w:noHBand="0" w:noVBand="1" w:val="04A0"/>
        <w:tblBorders>
          <w:top w:val="none" w:sz="0"/>
          <w:left w:val="none" w:sz="0"/>
          <w:bottom w:val="none" w:sz="0"/>
          <w:right w:val="none" w:sz="0"/>
          <w:insideH w:val="none" w:sz="0"/>
          <w:insideV w:val="none" w:sz="0"/>
        </w:tblBorders>
      </w:tblPr>
      <w:tblGrid>
        <w:gridCol w:w="9638"/>
      </w:tblGrid>
      <w:tr>
        <w:tc>
          <w:tcPr>
            <w:tcW w:type="dxa" w:w="9638"/>
            <w:shd w:val="clear" w:color="auto" w:fill="F2F8F4"/>
            <w:tcBorders>
              <w:left w:val="single" w:sz="24" w:space="0" w:color="00A85A"/>
            </w:tcBorders>
          </w:tcPr>
          <w:p>
            <w:pPr>
              <w:spacing w:before="100" w:after="100"/>
            </w:pPr>
            <w:r>
              <w:rPr>
                <w:rFonts w:ascii="Arial" w:hAnsi="Arial"/>
                <w:b/>
                <w:color w:val="006B46"/>
                <w:sz w:val="22"/>
              </w:rPr>
              <w:t>Ein Pronomen steht für ein Nomen oder verweist auf es. Genus und Numerus richten sich nach dem Bezugswort, der Fall nach der eigenen Funktion im Satz.</w:t>
            </w:r>
          </w:p>
        </w:tc>
      </w:tr>
    </w:tbl>
    <w:p>
      <w:pPr>
        <w:spacing w:before="0" w:after="140" w:line="20" w:lineRule="exact"/>
      </w:pPr>
    </w:p>
    <w:p>
      <w:pPr>
        <w:spacing w:before="280" w:after="120" w:line="276" w:lineRule="auto"/>
      </w:pPr>
      <w:r>
        <w:rPr>
          <w:rFonts w:ascii="Arial" w:hAnsi="Arial"/>
          <w:b/>
          <w:i w:val="0"/>
          <w:color w:val="111111"/>
          <w:sz w:val="24"/>
        </w:rPr>
        <w:t>Personalpronomen</w:t>
      </w:r>
    </w:p>
    <w:tbl>
      <w:tblPr>
        <w:tblW w:type="auto" w:w="0"/>
        <w:jc w:val="left"/>
        <w:tblLayout w:type="fixed"/>
        <w:tblLook w:firstColumn="1" w:firstRow="1" w:lastColumn="0" w:lastRow="0" w:noHBand="0" w:noVBand="1" w:val="04A0"/>
        <w:tblLayout w:type="fixed"/>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Pr>
      <w:tblGrid>
        <w:gridCol w:w="1285"/>
        <w:gridCol w:w="1285"/>
        <w:gridCol w:w="1285"/>
        <w:gridCol w:w="1928"/>
        <w:gridCol w:w="1285"/>
        <w:gridCol w:w="1285"/>
        <w:gridCol w:w="1285"/>
      </w:tblGrid>
      <w:tr>
        <w:tc>
          <w:tcPr>
            <w:tcW w:type="dxa" w:w="1285"/>
            <w:shd w:val="clear" w:color="auto" w:fill="F2F8F4"/>
            <w:tcMar>
              <w:left w:w="80" w:type="dxa"/>
              <w:right w:w="80" w:type="dxa"/>
            </w:tcMar>
          </w:tcPr>
          <w:p>
            <w:pPr>
              <w:spacing w:before="40" w:after="40" w:line="264" w:lineRule="auto"/>
            </w:pPr>
            <w:r>
              <w:rPr>
                <w:rFonts w:ascii="Arial" w:hAnsi="Arial"/>
                <w:b/>
                <w:color w:val="006B46"/>
                <w:sz w:val="15"/>
              </w:rPr>
              <w:t>Kasus</w:t>
            </w:r>
          </w:p>
        </w:tc>
        <w:tc>
          <w:tcPr>
            <w:tcW w:type="dxa" w:w="1285"/>
            <w:shd w:val="clear" w:color="auto" w:fill="F2F8F4"/>
            <w:tcMar>
              <w:left w:w="80" w:type="dxa"/>
              <w:right w:w="80" w:type="dxa"/>
            </w:tcMar>
          </w:tcPr>
          <w:p>
            <w:pPr>
              <w:spacing w:before="40" w:after="40" w:line="264" w:lineRule="auto"/>
            </w:pPr>
            <w:r>
              <w:rPr>
                <w:rFonts w:ascii="Arial" w:hAnsi="Arial"/>
                <w:b/>
                <w:color w:val="006B46"/>
                <w:sz w:val="15"/>
              </w:rPr>
              <w:t>1. Sg.</w:t>
            </w:r>
          </w:p>
        </w:tc>
        <w:tc>
          <w:tcPr>
            <w:tcW w:type="dxa" w:w="1285"/>
            <w:shd w:val="clear" w:color="auto" w:fill="F2F8F4"/>
            <w:tcMar>
              <w:left w:w="80" w:type="dxa"/>
              <w:right w:w="80" w:type="dxa"/>
            </w:tcMar>
          </w:tcPr>
          <w:p>
            <w:pPr>
              <w:spacing w:before="40" w:after="40" w:line="264" w:lineRule="auto"/>
            </w:pPr>
            <w:r>
              <w:rPr>
                <w:rFonts w:ascii="Arial" w:hAnsi="Arial"/>
                <w:b/>
                <w:color w:val="006B46"/>
                <w:sz w:val="15"/>
              </w:rPr>
              <w:t>2. Sg.</w:t>
            </w:r>
          </w:p>
        </w:tc>
        <w:tc>
          <w:tcPr>
            <w:tcW w:type="dxa" w:w="1928"/>
            <w:shd w:val="clear" w:color="auto" w:fill="F2F8F4"/>
            <w:tcMar>
              <w:left w:w="80" w:type="dxa"/>
              <w:right w:w="80" w:type="dxa"/>
            </w:tcMar>
          </w:tcPr>
          <w:p>
            <w:pPr>
              <w:spacing w:before="40" w:after="40" w:line="264" w:lineRule="auto"/>
            </w:pPr>
            <w:r>
              <w:rPr>
                <w:rFonts w:ascii="Arial" w:hAnsi="Arial"/>
                <w:b/>
                <w:color w:val="006B46"/>
                <w:sz w:val="15"/>
              </w:rPr>
              <w:t>3. Sg. m/f/n</w:t>
            </w:r>
          </w:p>
        </w:tc>
        <w:tc>
          <w:tcPr>
            <w:tcW w:type="dxa" w:w="1285"/>
            <w:shd w:val="clear" w:color="auto" w:fill="F2F8F4"/>
            <w:tcMar>
              <w:left w:w="80" w:type="dxa"/>
              <w:right w:w="80" w:type="dxa"/>
            </w:tcMar>
          </w:tcPr>
          <w:p>
            <w:pPr>
              <w:spacing w:before="40" w:after="40" w:line="264" w:lineRule="auto"/>
            </w:pPr>
            <w:r>
              <w:rPr>
                <w:rFonts w:ascii="Arial" w:hAnsi="Arial"/>
                <w:b/>
                <w:color w:val="006B46"/>
                <w:sz w:val="15"/>
              </w:rPr>
              <w:t>1. Pl.</w:t>
            </w:r>
          </w:p>
        </w:tc>
        <w:tc>
          <w:tcPr>
            <w:tcW w:type="dxa" w:w="1285"/>
            <w:shd w:val="clear" w:color="auto" w:fill="F2F8F4"/>
            <w:tcMar>
              <w:left w:w="80" w:type="dxa"/>
              <w:right w:w="80" w:type="dxa"/>
            </w:tcMar>
          </w:tcPr>
          <w:p>
            <w:pPr>
              <w:spacing w:before="40" w:after="40" w:line="264" w:lineRule="auto"/>
            </w:pPr>
            <w:r>
              <w:rPr>
                <w:rFonts w:ascii="Arial" w:hAnsi="Arial"/>
                <w:b/>
                <w:color w:val="006B46"/>
                <w:sz w:val="15"/>
              </w:rPr>
              <w:t>2. Pl.</w:t>
            </w:r>
          </w:p>
        </w:tc>
        <w:tc>
          <w:tcPr>
            <w:tcW w:type="dxa" w:w="1285"/>
            <w:shd w:val="clear" w:color="auto" w:fill="F2F8F4"/>
            <w:tcMar>
              <w:left w:w="80" w:type="dxa"/>
              <w:right w:w="80" w:type="dxa"/>
            </w:tcMar>
          </w:tcPr>
          <w:p>
            <w:pPr>
              <w:spacing w:before="40" w:after="40" w:line="264" w:lineRule="auto"/>
            </w:pPr>
            <w:r>
              <w:rPr>
                <w:rFonts w:ascii="Arial" w:hAnsi="Arial"/>
                <w:b/>
                <w:color w:val="006B46"/>
                <w:sz w:val="15"/>
              </w:rPr>
              <w:t>3. Pl.</w:t>
            </w:r>
          </w:p>
        </w:tc>
      </w:tr>
      <w:tr>
        <w:tc>
          <w:tcPr>
            <w:tcW w:type="dxa" w:w="1285"/>
            <w:tcMar>
              <w:left w:w="80" w:type="dxa"/>
              <w:right w:w="80" w:type="dxa"/>
            </w:tcMar>
          </w:tcPr>
          <w:p>
            <w:pPr>
              <w:spacing w:before="40" w:after="40" w:line="264" w:lineRule="auto"/>
            </w:pPr>
            <w:r>
              <w:rPr>
                <w:rFonts w:ascii="Arial" w:hAnsi="Arial"/>
                <w:b/>
                <w:color w:val="111111"/>
                <w:sz w:val="15"/>
              </w:rPr>
              <w:t>Nominativ</w:t>
            </w:r>
          </w:p>
        </w:tc>
        <w:tc>
          <w:tcPr>
            <w:tcW w:type="dxa" w:w="1285"/>
            <w:tcMar>
              <w:left w:w="80" w:type="dxa"/>
              <w:right w:w="80" w:type="dxa"/>
            </w:tcMar>
          </w:tcPr>
          <w:p>
            <w:pPr>
              <w:spacing w:before="40" w:after="40" w:line="264" w:lineRule="auto"/>
            </w:pPr>
            <w:r>
              <w:rPr>
                <w:rFonts w:ascii="Arial" w:hAnsi="Arial"/>
                <w:b w:val="0"/>
                <w:color w:val="111111"/>
                <w:sz w:val="15"/>
              </w:rPr>
              <w:t>ich</w:t>
            </w:r>
          </w:p>
        </w:tc>
        <w:tc>
          <w:tcPr>
            <w:tcW w:type="dxa" w:w="1285"/>
            <w:tcMar>
              <w:left w:w="80" w:type="dxa"/>
              <w:right w:w="80" w:type="dxa"/>
            </w:tcMar>
          </w:tcPr>
          <w:p>
            <w:pPr>
              <w:spacing w:before="40" w:after="40" w:line="264" w:lineRule="auto"/>
            </w:pPr>
            <w:r>
              <w:rPr>
                <w:rFonts w:ascii="Arial" w:hAnsi="Arial"/>
                <w:b w:val="0"/>
                <w:color w:val="111111"/>
                <w:sz w:val="15"/>
              </w:rPr>
              <w:t>du</w:t>
            </w:r>
          </w:p>
        </w:tc>
        <w:tc>
          <w:tcPr>
            <w:tcW w:type="dxa" w:w="1928"/>
            <w:tcMar>
              <w:left w:w="80" w:type="dxa"/>
              <w:right w:w="80" w:type="dxa"/>
            </w:tcMar>
          </w:tcPr>
          <w:p>
            <w:pPr>
              <w:spacing w:before="40" w:after="40" w:line="264" w:lineRule="auto"/>
            </w:pPr>
            <w:r>
              <w:rPr>
                <w:rFonts w:ascii="Arial" w:hAnsi="Arial"/>
                <w:b w:val="0"/>
                <w:color w:val="111111"/>
                <w:sz w:val="15"/>
              </w:rPr>
              <w:t>er/sie/es</w:t>
            </w:r>
          </w:p>
        </w:tc>
        <w:tc>
          <w:tcPr>
            <w:tcW w:type="dxa" w:w="1285"/>
            <w:tcMar>
              <w:left w:w="80" w:type="dxa"/>
              <w:right w:w="80" w:type="dxa"/>
            </w:tcMar>
          </w:tcPr>
          <w:p>
            <w:pPr>
              <w:spacing w:before="40" w:after="40" w:line="264" w:lineRule="auto"/>
            </w:pPr>
            <w:r>
              <w:rPr>
                <w:rFonts w:ascii="Arial" w:hAnsi="Arial"/>
                <w:b w:val="0"/>
                <w:color w:val="111111"/>
                <w:sz w:val="15"/>
              </w:rPr>
              <w:t>wir</w:t>
            </w:r>
          </w:p>
        </w:tc>
        <w:tc>
          <w:tcPr>
            <w:tcW w:type="dxa" w:w="1285"/>
            <w:tcMar>
              <w:left w:w="80" w:type="dxa"/>
              <w:right w:w="80" w:type="dxa"/>
            </w:tcMar>
          </w:tcPr>
          <w:p>
            <w:pPr>
              <w:spacing w:before="40" w:after="40" w:line="264" w:lineRule="auto"/>
            </w:pPr>
            <w:r>
              <w:rPr>
                <w:rFonts w:ascii="Arial" w:hAnsi="Arial"/>
                <w:b w:val="0"/>
                <w:color w:val="111111"/>
                <w:sz w:val="15"/>
              </w:rPr>
              <w:t>ihr</w:t>
            </w:r>
          </w:p>
        </w:tc>
        <w:tc>
          <w:tcPr>
            <w:tcW w:type="dxa" w:w="1285"/>
            <w:tcMar>
              <w:left w:w="80" w:type="dxa"/>
              <w:right w:w="80" w:type="dxa"/>
            </w:tcMar>
          </w:tcPr>
          <w:p>
            <w:pPr>
              <w:spacing w:before="40" w:after="40" w:line="264" w:lineRule="auto"/>
            </w:pPr>
            <w:r>
              <w:rPr>
                <w:rFonts w:ascii="Arial" w:hAnsi="Arial"/>
                <w:b w:val="0"/>
                <w:color w:val="111111"/>
                <w:sz w:val="15"/>
              </w:rPr>
              <w:t>sie</w:t>
            </w:r>
          </w:p>
        </w:tc>
      </w:tr>
      <w:tr>
        <w:tc>
          <w:tcPr>
            <w:tcW w:type="dxa" w:w="1285"/>
            <w:tcMar>
              <w:left w:w="80" w:type="dxa"/>
              <w:right w:w="80" w:type="dxa"/>
            </w:tcMar>
          </w:tcPr>
          <w:p>
            <w:pPr>
              <w:spacing w:before="40" w:after="40" w:line="264" w:lineRule="auto"/>
            </w:pPr>
            <w:r>
              <w:rPr>
                <w:rFonts w:ascii="Arial" w:hAnsi="Arial"/>
                <w:b/>
                <w:color w:val="111111"/>
                <w:sz w:val="15"/>
              </w:rPr>
              <w:t>Genitiv</w:t>
            </w:r>
          </w:p>
        </w:tc>
        <w:tc>
          <w:tcPr>
            <w:tcW w:type="dxa" w:w="1285"/>
            <w:tcMar>
              <w:left w:w="80" w:type="dxa"/>
              <w:right w:w="80" w:type="dxa"/>
            </w:tcMar>
          </w:tcPr>
          <w:p>
            <w:pPr>
              <w:spacing w:before="40" w:after="40" w:line="264" w:lineRule="auto"/>
            </w:pPr>
            <w:r>
              <w:rPr>
                <w:rFonts w:ascii="Arial" w:hAnsi="Arial"/>
                <w:b w:val="0"/>
                <w:color w:val="111111"/>
                <w:sz w:val="15"/>
              </w:rPr>
              <w:t>meiner</w:t>
            </w:r>
          </w:p>
        </w:tc>
        <w:tc>
          <w:tcPr>
            <w:tcW w:type="dxa" w:w="1285"/>
            <w:tcMar>
              <w:left w:w="80" w:type="dxa"/>
              <w:right w:w="80" w:type="dxa"/>
            </w:tcMar>
          </w:tcPr>
          <w:p>
            <w:pPr>
              <w:spacing w:before="40" w:after="40" w:line="264" w:lineRule="auto"/>
            </w:pPr>
            <w:r>
              <w:rPr>
                <w:rFonts w:ascii="Arial" w:hAnsi="Arial"/>
                <w:b w:val="0"/>
                <w:color w:val="111111"/>
                <w:sz w:val="15"/>
              </w:rPr>
              <w:t>deiner</w:t>
            </w:r>
          </w:p>
        </w:tc>
        <w:tc>
          <w:tcPr>
            <w:tcW w:type="dxa" w:w="1928"/>
            <w:tcMar>
              <w:left w:w="80" w:type="dxa"/>
              <w:right w:w="80" w:type="dxa"/>
            </w:tcMar>
          </w:tcPr>
          <w:p>
            <w:pPr>
              <w:spacing w:before="40" w:after="40" w:line="264" w:lineRule="auto"/>
            </w:pPr>
            <w:r>
              <w:rPr>
                <w:rFonts w:ascii="Arial" w:hAnsi="Arial"/>
                <w:b w:val="0"/>
                <w:color w:val="111111"/>
                <w:sz w:val="15"/>
              </w:rPr>
              <w:t>seiner/ihrer/seiner</w:t>
            </w:r>
          </w:p>
        </w:tc>
        <w:tc>
          <w:tcPr>
            <w:tcW w:type="dxa" w:w="1285"/>
            <w:tcMar>
              <w:left w:w="80" w:type="dxa"/>
              <w:right w:w="80" w:type="dxa"/>
            </w:tcMar>
          </w:tcPr>
          <w:p>
            <w:pPr>
              <w:spacing w:before="40" w:after="40" w:line="264" w:lineRule="auto"/>
            </w:pPr>
            <w:r>
              <w:rPr>
                <w:rFonts w:ascii="Arial" w:hAnsi="Arial"/>
                <w:b w:val="0"/>
                <w:color w:val="111111"/>
                <w:sz w:val="15"/>
              </w:rPr>
              <w:t>unser</w:t>
            </w:r>
          </w:p>
        </w:tc>
        <w:tc>
          <w:tcPr>
            <w:tcW w:type="dxa" w:w="1285"/>
            <w:tcMar>
              <w:left w:w="80" w:type="dxa"/>
              <w:right w:w="80" w:type="dxa"/>
            </w:tcMar>
          </w:tcPr>
          <w:p>
            <w:pPr>
              <w:spacing w:before="40" w:after="40" w:line="264" w:lineRule="auto"/>
            </w:pPr>
            <w:r>
              <w:rPr>
                <w:rFonts w:ascii="Arial" w:hAnsi="Arial"/>
                <w:b w:val="0"/>
                <w:color w:val="111111"/>
                <w:sz w:val="15"/>
              </w:rPr>
              <w:t>euer</w:t>
            </w:r>
          </w:p>
        </w:tc>
        <w:tc>
          <w:tcPr>
            <w:tcW w:type="dxa" w:w="1285"/>
            <w:tcMar>
              <w:left w:w="80" w:type="dxa"/>
              <w:right w:w="80" w:type="dxa"/>
            </w:tcMar>
          </w:tcPr>
          <w:p>
            <w:pPr>
              <w:spacing w:before="40" w:after="40" w:line="264" w:lineRule="auto"/>
            </w:pPr>
            <w:r>
              <w:rPr>
                <w:rFonts w:ascii="Arial" w:hAnsi="Arial"/>
                <w:b w:val="0"/>
                <w:color w:val="111111"/>
                <w:sz w:val="15"/>
              </w:rPr>
              <w:t>ihrer</w:t>
            </w:r>
          </w:p>
        </w:tc>
      </w:tr>
      <w:tr>
        <w:tc>
          <w:tcPr>
            <w:tcW w:type="dxa" w:w="1285"/>
            <w:tcMar>
              <w:left w:w="80" w:type="dxa"/>
              <w:right w:w="80" w:type="dxa"/>
            </w:tcMar>
          </w:tcPr>
          <w:p>
            <w:pPr>
              <w:spacing w:before="40" w:after="40" w:line="264" w:lineRule="auto"/>
            </w:pPr>
            <w:r>
              <w:rPr>
                <w:rFonts w:ascii="Arial" w:hAnsi="Arial"/>
                <w:b/>
                <w:color w:val="111111"/>
                <w:sz w:val="15"/>
              </w:rPr>
              <w:t>Dativ</w:t>
            </w:r>
          </w:p>
        </w:tc>
        <w:tc>
          <w:tcPr>
            <w:tcW w:type="dxa" w:w="1285"/>
            <w:tcMar>
              <w:left w:w="80" w:type="dxa"/>
              <w:right w:w="80" w:type="dxa"/>
            </w:tcMar>
          </w:tcPr>
          <w:p>
            <w:pPr>
              <w:spacing w:before="40" w:after="40" w:line="264" w:lineRule="auto"/>
            </w:pPr>
            <w:r>
              <w:rPr>
                <w:rFonts w:ascii="Arial" w:hAnsi="Arial"/>
                <w:b w:val="0"/>
                <w:color w:val="111111"/>
                <w:sz w:val="15"/>
              </w:rPr>
              <w:t>mir</w:t>
            </w:r>
          </w:p>
        </w:tc>
        <w:tc>
          <w:tcPr>
            <w:tcW w:type="dxa" w:w="1285"/>
            <w:tcMar>
              <w:left w:w="80" w:type="dxa"/>
              <w:right w:w="80" w:type="dxa"/>
            </w:tcMar>
          </w:tcPr>
          <w:p>
            <w:pPr>
              <w:spacing w:before="40" w:after="40" w:line="264" w:lineRule="auto"/>
            </w:pPr>
            <w:r>
              <w:rPr>
                <w:rFonts w:ascii="Arial" w:hAnsi="Arial"/>
                <w:b w:val="0"/>
                <w:color w:val="111111"/>
                <w:sz w:val="15"/>
              </w:rPr>
              <w:t>dir</w:t>
            </w:r>
          </w:p>
        </w:tc>
        <w:tc>
          <w:tcPr>
            <w:tcW w:type="dxa" w:w="1928"/>
            <w:tcMar>
              <w:left w:w="80" w:type="dxa"/>
              <w:right w:w="80" w:type="dxa"/>
            </w:tcMar>
          </w:tcPr>
          <w:p>
            <w:pPr>
              <w:spacing w:before="40" w:after="40" w:line="264" w:lineRule="auto"/>
            </w:pPr>
            <w:r>
              <w:rPr>
                <w:rFonts w:ascii="Arial" w:hAnsi="Arial"/>
                <w:b w:val="0"/>
                <w:color w:val="111111"/>
                <w:sz w:val="15"/>
              </w:rPr>
              <w:t>ihm/ihr/ihm</w:t>
            </w:r>
          </w:p>
        </w:tc>
        <w:tc>
          <w:tcPr>
            <w:tcW w:type="dxa" w:w="1285"/>
            <w:tcMar>
              <w:left w:w="80" w:type="dxa"/>
              <w:right w:w="80" w:type="dxa"/>
            </w:tcMar>
          </w:tcPr>
          <w:p>
            <w:pPr>
              <w:spacing w:before="40" w:after="40" w:line="264" w:lineRule="auto"/>
            </w:pPr>
            <w:r>
              <w:rPr>
                <w:rFonts w:ascii="Arial" w:hAnsi="Arial"/>
                <w:b w:val="0"/>
                <w:color w:val="111111"/>
                <w:sz w:val="15"/>
              </w:rPr>
              <w:t>uns</w:t>
            </w:r>
          </w:p>
        </w:tc>
        <w:tc>
          <w:tcPr>
            <w:tcW w:type="dxa" w:w="1285"/>
            <w:tcMar>
              <w:left w:w="80" w:type="dxa"/>
              <w:right w:w="80" w:type="dxa"/>
            </w:tcMar>
          </w:tcPr>
          <w:p>
            <w:pPr>
              <w:spacing w:before="40" w:after="40" w:line="264" w:lineRule="auto"/>
            </w:pPr>
            <w:r>
              <w:rPr>
                <w:rFonts w:ascii="Arial" w:hAnsi="Arial"/>
                <w:b w:val="0"/>
                <w:color w:val="111111"/>
                <w:sz w:val="15"/>
              </w:rPr>
              <w:t>euch</w:t>
            </w:r>
          </w:p>
        </w:tc>
        <w:tc>
          <w:tcPr>
            <w:tcW w:type="dxa" w:w="1285"/>
            <w:tcMar>
              <w:left w:w="80" w:type="dxa"/>
              <w:right w:w="80" w:type="dxa"/>
            </w:tcMar>
          </w:tcPr>
          <w:p>
            <w:pPr>
              <w:spacing w:before="40" w:after="40" w:line="264" w:lineRule="auto"/>
            </w:pPr>
            <w:r>
              <w:rPr>
                <w:rFonts w:ascii="Arial" w:hAnsi="Arial"/>
                <w:b w:val="0"/>
                <w:color w:val="111111"/>
                <w:sz w:val="15"/>
              </w:rPr>
              <w:t>ihnen</w:t>
            </w:r>
          </w:p>
        </w:tc>
      </w:tr>
      <w:tr>
        <w:tc>
          <w:tcPr>
            <w:tcW w:type="dxa" w:w="1285"/>
            <w:tcMar>
              <w:left w:w="80" w:type="dxa"/>
              <w:right w:w="80" w:type="dxa"/>
            </w:tcMar>
          </w:tcPr>
          <w:p>
            <w:pPr>
              <w:spacing w:before="40" w:after="40" w:line="264" w:lineRule="auto"/>
            </w:pPr>
            <w:r>
              <w:rPr>
                <w:rFonts w:ascii="Arial" w:hAnsi="Arial"/>
                <w:b/>
                <w:color w:val="111111"/>
                <w:sz w:val="15"/>
              </w:rPr>
              <w:t>Akkusativ</w:t>
            </w:r>
          </w:p>
        </w:tc>
        <w:tc>
          <w:tcPr>
            <w:tcW w:type="dxa" w:w="1285"/>
            <w:tcMar>
              <w:left w:w="80" w:type="dxa"/>
              <w:right w:w="80" w:type="dxa"/>
            </w:tcMar>
          </w:tcPr>
          <w:p>
            <w:pPr>
              <w:spacing w:before="40" w:after="40" w:line="264" w:lineRule="auto"/>
            </w:pPr>
            <w:r>
              <w:rPr>
                <w:rFonts w:ascii="Arial" w:hAnsi="Arial"/>
                <w:b w:val="0"/>
                <w:color w:val="111111"/>
                <w:sz w:val="15"/>
              </w:rPr>
              <w:t>mich</w:t>
            </w:r>
          </w:p>
        </w:tc>
        <w:tc>
          <w:tcPr>
            <w:tcW w:type="dxa" w:w="1285"/>
            <w:tcMar>
              <w:left w:w="80" w:type="dxa"/>
              <w:right w:w="80" w:type="dxa"/>
            </w:tcMar>
          </w:tcPr>
          <w:p>
            <w:pPr>
              <w:spacing w:before="40" w:after="40" w:line="264" w:lineRule="auto"/>
            </w:pPr>
            <w:r>
              <w:rPr>
                <w:rFonts w:ascii="Arial" w:hAnsi="Arial"/>
                <w:b w:val="0"/>
                <w:color w:val="111111"/>
                <w:sz w:val="15"/>
              </w:rPr>
              <w:t>dich</w:t>
            </w:r>
          </w:p>
        </w:tc>
        <w:tc>
          <w:tcPr>
            <w:tcW w:type="dxa" w:w="1928"/>
            <w:tcMar>
              <w:left w:w="80" w:type="dxa"/>
              <w:right w:w="80" w:type="dxa"/>
            </w:tcMar>
          </w:tcPr>
          <w:p>
            <w:pPr>
              <w:spacing w:before="40" w:after="40" w:line="264" w:lineRule="auto"/>
            </w:pPr>
            <w:r>
              <w:rPr>
                <w:rFonts w:ascii="Arial" w:hAnsi="Arial"/>
                <w:b w:val="0"/>
                <w:color w:val="111111"/>
                <w:sz w:val="15"/>
              </w:rPr>
              <w:t>ihn/sie/es</w:t>
            </w:r>
          </w:p>
        </w:tc>
        <w:tc>
          <w:tcPr>
            <w:tcW w:type="dxa" w:w="1285"/>
            <w:tcMar>
              <w:left w:w="80" w:type="dxa"/>
              <w:right w:w="80" w:type="dxa"/>
            </w:tcMar>
          </w:tcPr>
          <w:p>
            <w:pPr>
              <w:spacing w:before="40" w:after="40" w:line="264" w:lineRule="auto"/>
            </w:pPr>
            <w:r>
              <w:rPr>
                <w:rFonts w:ascii="Arial" w:hAnsi="Arial"/>
                <w:b w:val="0"/>
                <w:color w:val="111111"/>
                <w:sz w:val="15"/>
              </w:rPr>
              <w:t>uns</w:t>
            </w:r>
          </w:p>
        </w:tc>
        <w:tc>
          <w:tcPr>
            <w:tcW w:type="dxa" w:w="1285"/>
            <w:tcMar>
              <w:left w:w="80" w:type="dxa"/>
              <w:right w:w="80" w:type="dxa"/>
            </w:tcMar>
          </w:tcPr>
          <w:p>
            <w:pPr>
              <w:spacing w:before="40" w:after="40" w:line="264" w:lineRule="auto"/>
            </w:pPr>
            <w:r>
              <w:rPr>
                <w:rFonts w:ascii="Arial" w:hAnsi="Arial"/>
                <w:b w:val="0"/>
                <w:color w:val="111111"/>
                <w:sz w:val="15"/>
              </w:rPr>
              <w:t>euch</w:t>
            </w:r>
          </w:p>
        </w:tc>
        <w:tc>
          <w:tcPr>
            <w:tcW w:type="dxa" w:w="1285"/>
            <w:tcMar>
              <w:left w:w="80" w:type="dxa"/>
              <w:right w:w="80" w:type="dxa"/>
            </w:tcMar>
          </w:tcPr>
          <w:p>
            <w:pPr>
              <w:spacing w:before="40" w:after="40" w:line="264" w:lineRule="auto"/>
            </w:pPr>
            <w:r>
              <w:rPr>
                <w:rFonts w:ascii="Arial" w:hAnsi="Arial"/>
                <w:b w:val="0"/>
                <w:color w:val="111111"/>
                <w:sz w:val="15"/>
              </w:rPr>
              <w:t>sie</w:t>
            </w:r>
          </w:p>
        </w:tc>
      </w:tr>
    </w:tbl>
    <w:p>
      <w:pPr>
        <w:spacing w:before="0" w:after="120" w:line="276" w:lineRule="auto"/>
      </w:pPr>
    </w:p>
    <w:p>
      <w:pPr>
        <w:spacing w:before="280" w:after="120" w:line="276" w:lineRule="auto"/>
      </w:pPr>
      <w:r>
        <w:rPr>
          <w:rFonts w:ascii="Arial" w:hAnsi="Arial"/>
          <w:b/>
          <w:i w:val="0"/>
          <w:color w:val="111111"/>
          <w:sz w:val="24"/>
        </w:rPr>
        <w:t>Possessivpronomen (Beispiel: mein-)</w:t>
      </w:r>
    </w:p>
    <w:tbl>
      <w:tblPr>
        <w:tblW w:type="auto" w:w="0"/>
        <w:jc w:val="left"/>
        <w:tblLayout w:type="fixed"/>
        <w:tblLook w:firstColumn="1" w:firstRow="1" w:lastColumn="0" w:lastRow="0" w:noHBand="0" w:noVBand="1" w:val="04A0"/>
        <w:tblLayout w:type="fixed"/>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Pr>
      <w:tblGrid>
        <w:gridCol w:w="1662"/>
        <w:gridCol w:w="1994"/>
        <w:gridCol w:w="1994"/>
        <w:gridCol w:w="1994"/>
        <w:gridCol w:w="1994"/>
      </w:tblGrid>
      <w:tr>
        <w:tc>
          <w:tcPr>
            <w:tcW w:type="dxa" w:w="1662"/>
            <w:shd w:val="clear" w:color="auto" w:fill="F2F8F4"/>
            <w:tcMar>
              <w:left w:w="80" w:type="dxa"/>
              <w:right w:w="80" w:type="dxa"/>
            </w:tcMar>
          </w:tcPr>
          <w:p>
            <w:pPr>
              <w:spacing w:before="40" w:after="40" w:line="264" w:lineRule="auto"/>
            </w:pPr>
            <w:r>
              <w:rPr>
                <w:rFonts w:ascii="Arial" w:hAnsi="Arial"/>
                <w:b/>
                <w:color w:val="006B46"/>
                <w:sz w:val="17"/>
              </w:rPr>
              <w:t>Kasus</w:t>
            </w:r>
          </w:p>
        </w:tc>
        <w:tc>
          <w:tcPr>
            <w:tcW w:type="dxa" w:w="1994"/>
            <w:shd w:val="clear" w:color="auto" w:fill="F2F8F4"/>
            <w:tcMar>
              <w:left w:w="80" w:type="dxa"/>
              <w:right w:w="80" w:type="dxa"/>
            </w:tcMar>
          </w:tcPr>
          <w:p>
            <w:pPr>
              <w:spacing w:before="40" w:after="40" w:line="264" w:lineRule="auto"/>
            </w:pPr>
            <w:r>
              <w:rPr>
                <w:rFonts w:ascii="Arial" w:hAnsi="Arial"/>
                <w:b/>
                <w:color w:val="006B46"/>
                <w:sz w:val="17"/>
              </w:rPr>
              <w:t>Maskulinum</w:t>
            </w:r>
          </w:p>
        </w:tc>
        <w:tc>
          <w:tcPr>
            <w:tcW w:type="dxa" w:w="1994"/>
            <w:shd w:val="clear" w:color="auto" w:fill="F2F8F4"/>
            <w:tcMar>
              <w:left w:w="80" w:type="dxa"/>
              <w:right w:w="80" w:type="dxa"/>
            </w:tcMar>
          </w:tcPr>
          <w:p>
            <w:pPr>
              <w:spacing w:before="40" w:after="40" w:line="264" w:lineRule="auto"/>
            </w:pPr>
            <w:r>
              <w:rPr>
                <w:rFonts w:ascii="Arial" w:hAnsi="Arial"/>
                <w:b/>
                <w:color w:val="006B46"/>
                <w:sz w:val="17"/>
              </w:rPr>
              <w:t>Femininum</w:t>
            </w:r>
          </w:p>
        </w:tc>
        <w:tc>
          <w:tcPr>
            <w:tcW w:type="dxa" w:w="1994"/>
            <w:shd w:val="clear" w:color="auto" w:fill="F2F8F4"/>
            <w:tcMar>
              <w:left w:w="80" w:type="dxa"/>
              <w:right w:w="80" w:type="dxa"/>
            </w:tcMar>
          </w:tcPr>
          <w:p>
            <w:pPr>
              <w:spacing w:before="40" w:after="40" w:line="264" w:lineRule="auto"/>
            </w:pPr>
            <w:r>
              <w:rPr>
                <w:rFonts w:ascii="Arial" w:hAnsi="Arial"/>
                <w:b/>
                <w:color w:val="006B46"/>
                <w:sz w:val="17"/>
              </w:rPr>
              <w:t>Neutrum</w:t>
            </w:r>
          </w:p>
        </w:tc>
        <w:tc>
          <w:tcPr>
            <w:tcW w:type="dxa" w:w="1994"/>
            <w:shd w:val="clear" w:color="auto" w:fill="F2F8F4"/>
            <w:tcMar>
              <w:left w:w="80" w:type="dxa"/>
              <w:right w:w="80" w:type="dxa"/>
            </w:tcMar>
          </w:tcPr>
          <w:p>
            <w:pPr>
              <w:spacing w:before="40" w:after="40" w:line="264" w:lineRule="auto"/>
            </w:pPr>
            <w:r>
              <w:rPr>
                <w:rFonts w:ascii="Arial" w:hAnsi="Arial"/>
                <w:b/>
                <w:color w:val="006B46"/>
                <w:sz w:val="17"/>
              </w:rPr>
              <w:t>Plural</w:t>
            </w:r>
          </w:p>
        </w:tc>
      </w:tr>
      <w:tr>
        <w:tc>
          <w:tcPr>
            <w:tcW w:type="dxa" w:w="1662"/>
            <w:tcMar>
              <w:left w:w="80" w:type="dxa"/>
              <w:right w:w="80" w:type="dxa"/>
            </w:tcMar>
          </w:tcPr>
          <w:p>
            <w:pPr>
              <w:spacing w:before="40" w:after="40" w:line="264" w:lineRule="auto"/>
            </w:pPr>
            <w:r>
              <w:rPr>
                <w:rFonts w:ascii="Arial" w:hAnsi="Arial"/>
                <w:b/>
                <w:color w:val="111111"/>
                <w:sz w:val="17"/>
              </w:rPr>
              <w:t>Nominativ</w:t>
            </w:r>
          </w:p>
        </w:tc>
        <w:tc>
          <w:tcPr>
            <w:tcW w:type="dxa" w:w="1994"/>
            <w:tcMar>
              <w:left w:w="80" w:type="dxa"/>
              <w:right w:w="80" w:type="dxa"/>
            </w:tcMar>
          </w:tcPr>
          <w:p>
            <w:pPr>
              <w:spacing w:before="40" w:after="40" w:line="264" w:lineRule="auto"/>
            </w:pPr>
            <w:r>
              <w:rPr>
                <w:rFonts w:ascii="Arial" w:hAnsi="Arial"/>
                <w:b w:val="0"/>
                <w:color w:val="111111"/>
                <w:sz w:val="17"/>
              </w:rPr>
              <w:t>mein</w:t>
            </w:r>
          </w:p>
        </w:tc>
        <w:tc>
          <w:tcPr>
            <w:tcW w:type="dxa" w:w="1994"/>
            <w:tcMar>
              <w:left w:w="80" w:type="dxa"/>
              <w:right w:w="80" w:type="dxa"/>
            </w:tcMar>
          </w:tcPr>
          <w:p>
            <w:pPr>
              <w:spacing w:before="40" w:after="40" w:line="264" w:lineRule="auto"/>
            </w:pPr>
            <w:r>
              <w:rPr>
                <w:rFonts w:ascii="Arial" w:hAnsi="Arial"/>
                <w:b w:val="0"/>
                <w:color w:val="111111"/>
                <w:sz w:val="17"/>
              </w:rPr>
              <w:t>meine</w:t>
            </w:r>
          </w:p>
        </w:tc>
        <w:tc>
          <w:tcPr>
            <w:tcW w:type="dxa" w:w="1994"/>
            <w:tcMar>
              <w:left w:w="80" w:type="dxa"/>
              <w:right w:w="80" w:type="dxa"/>
            </w:tcMar>
          </w:tcPr>
          <w:p>
            <w:pPr>
              <w:spacing w:before="40" w:after="40" w:line="264" w:lineRule="auto"/>
            </w:pPr>
            <w:r>
              <w:rPr>
                <w:rFonts w:ascii="Arial" w:hAnsi="Arial"/>
                <w:b w:val="0"/>
                <w:color w:val="111111"/>
                <w:sz w:val="17"/>
              </w:rPr>
              <w:t>mein</w:t>
            </w:r>
          </w:p>
        </w:tc>
        <w:tc>
          <w:tcPr>
            <w:tcW w:type="dxa" w:w="1994"/>
            <w:tcMar>
              <w:left w:w="80" w:type="dxa"/>
              <w:right w:w="80" w:type="dxa"/>
            </w:tcMar>
          </w:tcPr>
          <w:p>
            <w:pPr>
              <w:spacing w:before="40" w:after="40" w:line="264" w:lineRule="auto"/>
            </w:pPr>
            <w:r>
              <w:rPr>
                <w:rFonts w:ascii="Arial" w:hAnsi="Arial"/>
                <w:b w:val="0"/>
                <w:color w:val="111111"/>
                <w:sz w:val="17"/>
              </w:rPr>
              <w:t>meine</w:t>
            </w:r>
          </w:p>
        </w:tc>
      </w:tr>
      <w:tr>
        <w:tc>
          <w:tcPr>
            <w:tcW w:type="dxa" w:w="1662"/>
            <w:tcMar>
              <w:left w:w="80" w:type="dxa"/>
              <w:right w:w="80" w:type="dxa"/>
            </w:tcMar>
          </w:tcPr>
          <w:p>
            <w:pPr>
              <w:spacing w:before="40" w:after="40" w:line="264" w:lineRule="auto"/>
            </w:pPr>
            <w:r>
              <w:rPr>
                <w:rFonts w:ascii="Arial" w:hAnsi="Arial"/>
                <w:b/>
                <w:color w:val="111111"/>
                <w:sz w:val="17"/>
              </w:rPr>
              <w:t>Genitiv</w:t>
            </w:r>
          </w:p>
        </w:tc>
        <w:tc>
          <w:tcPr>
            <w:tcW w:type="dxa" w:w="1994"/>
            <w:tcMar>
              <w:left w:w="80" w:type="dxa"/>
              <w:right w:w="80" w:type="dxa"/>
            </w:tcMar>
          </w:tcPr>
          <w:p>
            <w:pPr>
              <w:spacing w:before="40" w:after="40" w:line="264" w:lineRule="auto"/>
            </w:pPr>
            <w:r>
              <w:rPr>
                <w:rFonts w:ascii="Arial" w:hAnsi="Arial"/>
                <w:b w:val="0"/>
                <w:color w:val="111111"/>
                <w:sz w:val="17"/>
              </w:rPr>
              <w:t>meines</w:t>
            </w:r>
          </w:p>
        </w:tc>
        <w:tc>
          <w:tcPr>
            <w:tcW w:type="dxa" w:w="1994"/>
            <w:tcMar>
              <w:left w:w="80" w:type="dxa"/>
              <w:right w:w="80" w:type="dxa"/>
            </w:tcMar>
          </w:tcPr>
          <w:p>
            <w:pPr>
              <w:spacing w:before="40" w:after="40" w:line="264" w:lineRule="auto"/>
            </w:pPr>
            <w:r>
              <w:rPr>
                <w:rFonts w:ascii="Arial" w:hAnsi="Arial"/>
                <w:b w:val="0"/>
                <w:color w:val="111111"/>
                <w:sz w:val="17"/>
              </w:rPr>
              <w:t>meiner</w:t>
            </w:r>
          </w:p>
        </w:tc>
        <w:tc>
          <w:tcPr>
            <w:tcW w:type="dxa" w:w="1994"/>
            <w:tcMar>
              <w:left w:w="80" w:type="dxa"/>
              <w:right w:w="80" w:type="dxa"/>
            </w:tcMar>
          </w:tcPr>
          <w:p>
            <w:pPr>
              <w:spacing w:before="40" w:after="40" w:line="264" w:lineRule="auto"/>
            </w:pPr>
            <w:r>
              <w:rPr>
                <w:rFonts w:ascii="Arial" w:hAnsi="Arial"/>
                <w:b w:val="0"/>
                <w:color w:val="111111"/>
                <w:sz w:val="17"/>
              </w:rPr>
              <w:t>meines</w:t>
            </w:r>
          </w:p>
        </w:tc>
        <w:tc>
          <w:tcPr>
            <w:tcW w:type="dxa" w:w="1994"/>
            <w:tcMar>
              <w:left w:w="80" w:type="dxa"/>
              <w:right w:w="80" w:type="dxa"/>
            </w:tcMar>
          </w:tcPr>
          <w:p>
            <w:pPr>
              <w:spacing w:before="40" w:after="40" w:line="264" w:lineRule="auto"/>
            </w:pPr>
            <w:r>
              <w:rPr>
                <w:rFonts w:ascii="Arial" w:hAnsi="Arial"/>
                <w:b w:val="0"/>
                <w:color w:val="111111"/>
                <w:sz w:val="17"/>
              </w:rPr>
              <w:t>meiner</w:t>
            </w:r>
          </w:p>
        </w:tc>
      </w:tr>
      <w:tr>
        <w:tc>
          <w:tcPr>
            <w:tcW w:type="dxa" w:w="1662"/>
            <w:tcMar>
              <w:left w:w="80" w:type="dxa"/>
              <w:right w:w="80" w:type="dxa"/>
            </w:tcMar>
          </w:tcPr>
          <w:p>
            <w:pPr>
              <w:spacing w:before="40" w:after="40" w:line="264" w:lineRule="auto"/>
            </w:pPr>
            <w:r>
              <w:rPr>
                <w:rFonts w:ascii="Arial" w:hAnsi="Arial"/>
                <w:b/>
                <w:color w:val="111111"/>
                <w:sz w:val="17"/>
              </w:rPr>
              <w:t>Dativ</w:t>
            </w:r>
          </w:p>
        </w:tc>
        <w:tc>
          <w:tcPr>
            <w:tcW w:type="dxa" w:w="1994"/>
            <w:tcMar>
              <w:left w:w="80" w:type="dxa"/>
              <w:right w:w="80" w:type="dxa"/>
            </w:tcMar>
          </w:tcPr>
          <w:p>
            <w:pPr>
              <w:spacing w:before="40" w:after="40" w:line="264" w:lineRule="auto"/>
            </w:pPr>
            <w:r>
              <w:rPr>
                <w:rFonts w:ascii="Arial" w:hAnsi="Arial"/>
                <w:b w:val="0"/>
                <w:color w:val="111111"/>
                <w:sz w:val="17"/>
              </w:rPr>
              <w:t>meinem</w:t>
            </w:r>
          </w:p>
        </w:tc>
        <w:tc>
          <w:tcPr>
            <w:tcW w:type="dxa" w:w="1994"/>
            <w:tcMar>
              <w:left w:w="80" w:type="dxa"/>
              <w:right w:w="80" w:type="dxa"/>
            </w:tcMar>
          </w:tcPr>
          <w:p>
            <w:pPr>
              <w:spacing w:before="40" w:after="40" w:line="264" w:lineRule="auto"/>
            </w:pPr>
            <w:r>
              <w:rPr>
                <w:rFonts w:ascii="Arial" w:hAnsi="Arial"/>
                <w:b w:val="0"/>
                <w:color w:val="111111"/>
                <w:sz w:val="17"/>
              </w:rPr>
              <w:t>meiner</w:t>
            </w:r>
          </w:p>
        </w:tc>
        <w:tc>
          <w:tcPr>
            <w:tcW w:type="dxa" w:w="1994"/>
            <w:tcMar>
              <w:left w:w="80" w:type="dxa"/>
              <w:right w:w="80" w:type="dxa"/>
            </w:tcMar>
          </w:tcPr>
          <w:p>
            <w:pPr>
              <w:spacing w:before="40" w:after="40" w:line="264" w:lineRule="auto"/>
            </w:pPr>
            <w:r>
              <w:rPr>
                <w:rFonts w:ascii="Arial" w:hAnsi="Arial"/>
                <w:b w:val="0"/>
                <w:color w:val="111111"/>
                <w:sz w:val="17"/>
              </w:rPr>
              <w:t>meinem</w:t>
            </w:r>
          </w:p>
        </w:tc>
        <w:tc>
          <w:tcPr>
            <w:tcW w:type="dxa" w:w="1994"/>
            <w:tcMar>
              <w:left w:w="80" w:type="dxa"/>
              <w:right w:w="80" w:type="dxa"/>
            </w:tcMar>
          </w:tcPr>
          <w:p>
            <w:pPr>
              <w:spacing w:before="40" w:after="40" w:line="264" w:lineRule="auto"/>
            </w:pPr>
            <w:r>
              <w:rPr>
                <w:rFonts w:ascii="Arial" w:hAnsi="Arial"/>
                <w:b w:val="0"/>
                <w:color w:val="111111"/>
                <w:sz w:val="17"/>
              </w:rPr>
              <w:t>meinen</w:t>
            </w:r>
          </w:p>
        </w:tc>
      </w:tr>
      <w:tr>
        <w:tc>
          <w:tcPr>
            <w:tcW w:type="dxa" w:w="1662"/>
            <w:tcMar>
              <w:left w:w="80" w:type="dxa"/>
              <w:right w:w="80" w:type="dxa"/>
            </w:tcMar>
          </w:tcPr>
          <w:p>
            <w:pPr>
              <w:spacing w:before="40" w:after="40" w:line="264" w:lineRule="auto"/>
            </w:pPr>
            <w:r>
              <w:rPr>
                <w:rFonts w:ascii="Arial" w:hAnsi="Arial"/>
                <w:b/>
                <w:color w:val="111111"/>
                <w:sz w:val="17"/>
              </w:rPr>
              <w:t>Akkusativ</w:t>
            </w:r>
          </w:p>
        </w:tc>
        <w:tc>
          <w:tcPr>
            <w:tcW w:type="dxa" w:w="1994"/>
            <w:tcMar>
              <w:left w:w="80" w:type="dxa"/>
              <w:right w:w="80" w:type="dxa"/>
            </w:tcMar>
          </w:tcPr>
          <w:p>
            <w:pPr>
              <w:spacing w:before="40" w:after="40" w:line="264" w:lineRule="auto"/>
            </w:pPr>
            <w:r>
              <w:rPr>
                <w:rFonts w:ascii="Arial" w:hAnsi="Arial"/>
                <w:b w:val="0"/>
                <w:color w:val="111111"/>
                <w:sz w:val="17"/>
              </w:rPr>
              <w:t>meinen</w:t>
            </w:r>
          </w:p>
        </w:tc>
        <w:tc>
          <w:tcPr>
            <w:tcW w:type="dxa" w:w="1994"/>
            <w:tcMar>
              <w:left w:w="80" w:type="dxa"/>
              <w:right w:w="80" w:type="dxa"/>
            </w:tcMar>
          </w:tcPr>
          <w:p>
            <w:pPr>
              <w:spacing w:before="40" w:after="40" w:line="264" w:lineRule="auto"/>
            </w:pPr>
            <w:r>
              <w:rPr>
                <w:rFonts w:ascii="Arial" w:hAnsi="Arial"/>
                <w:b w:val="0"/>
                <w:color w:val="111111"/>
                <w:sz w:val="17"/>
              </w:rPr>
              <w:t>meine</w:t>
            </w:r>
          </w:p>
        </w:tc>
        <w:tc>
          <w:tcPr>
            <w:tcW w:type="dxa" w:w="1994"/>
            <w:tcMar>
              <w:left w:w="80" w:type="dxa"/>
              <w:right w:w="80" w:type="dxa"/>
            </w:tcMar>
          </w:tcPr>
          <w:p>
            <w:pPr>
              <w:spacing w:before="40" w:after="40" w:line="264" w:lineRule="auto"/>
            </w:pPr>
            <w:r>
              <w:rPr>
                <w:rFonts w:ascii="Arial" w:hAnsi="Arial"/>
                <w:b w:val="0"/>
                <w:color w:val="111111"/>
                <w:sz w:val="17"/>
              </w:rPr>
              <w:t>mein</w:t>
            </w:r>
          </w:p>
        </w:tc>
        <w:tc>
          <w:tcPr>
            <w:tcW w:type="dxa" w:w="1994"/>
            <w:tcMar>
              <w:left w:w="80" w:type="dxa"/>
              <w:right w:w="80" w:type="dxa"/>
            </w:tcMar>
          </w:tcPr>
          <w:p>
            <w:pPr>
              <w:spacing w:before="40" w:after="40" w:line="264" w:lineRule="auto"/>
            </w:pPr>
            <w:r>
              <w:rPr>
                <w:rFonts w:ascii="Arial" w:hAnsi="Arial"/>
                <w:b w:val="0"/>
                <w:color w:val="111111"/>
                <w:sz w:val="17"/>
              </w:rPr>
              <w:t>meine</w:t>
            </w:r>
          </w:p>
        </w:tc>
      </w:tr>
    </w:tbl>
    <w:p>
      <w:pPr>
        <w:spacing w:before="0" w:after="120" w:line="276" w:lineRule="auto"/>
      </w:pPr>
    </w:p>
    <w:p>
      <w:pPr>
        <w:spacing w:before="0" w:after="120" w:line="276" w:lineRule="auto"/>
      </w:pPr>
      <w:r>
        <w:rPr>
          <w:rFonts w:ascii="Arial" w:hAnsi="Arial"/>
          <w:b w:val="0"/>
          <w:i w:val="0"/>
          <w:color w:val="111111"/>
          <w:sz w:val="22"/>
        </w:rPr>
        <w:t>Nach demselben Muster wie „mein-“ werden dein-, sein-, ihr-, unser-, euer- und ihr- (Höflichkeitsform Ihr-) gebeugt. Das Possessivpronomen richtet sich im Genus nach dem besessenen Nomen, nicht nach dem Besitzer: „ihr Auto“ (egal ob eine Frau oder mehrere Personen besitzen).</w:t>
      </w:r>
    </w:p>
    <w:p>
      <w:pPr>
        <w:spacing w:before="280" w:after="120" w:line="276" w:lineRule="auto"/>
      </w:pPr>
      <w:r>
        <w:rPr>
          <w:rFonts w:ascii="Arial" w:hAnsi="Arial"/>
          <w:b/>
          <w:i w:val="0"/>
          <w:color w:val="111111"/>
          <w:sz w:val="24"/>
        </w:rPr>
        <w:t>Reflexivpronomen</w:t>
      </w:r>
    </w:p>
    <w:p>
      <w:pPr>
        <w:spacing w:before="0" w:after="120" w:line="276" w:lineRule="auto"/>
      </w:pPr>
      <w:r>
        <w:rPr>
          <w:rFonts w:ascii="Arial" w:hAnsi="Arial"/>
          <w:b w:val="0"/>
          <w:i w:val="0"/>
          <w:color w:val="111111"/>
          <w:sz w:val="22"/>
        </w:rPr>
        <w:t>Reflexivpronomen verweisen auf das Subjekt des Satzes zurück: „Ich wasche mich“, „sie freut sich“. In der 1. und 2. Person sind sie mit dem Personalpronomen identisch (mich, dir), in der 3. Person und in der Höflichkeitsform steht immer „sich“, egal ob Singular oder Plural: „er wäscht sich“, „sie waschen sich“, „waschen Sie sich?“.</w:t>
      </w:r>
    </w:p>
    <w:p>
      <w:r>
        <w:br w:type="page"/>
      </w:r>
    </w:p>
    <w:p>
      <w:pPr>
        <w:spacing w:before="280" w:after="120" w:line="276" w:lineRule="auto"/>
      </w:pPr>
      <w:r>
        <w:rPr>
          <w:rFonts w:ascii="Arial" w:hAnsi="Arial"/>
          <w:b/>
          <w:i w:val="0"/>
          <w:color w:val="111111"/>
          <w:sz w:val="24"/>
        </w:rPr>
        <w:t>Demonstrativpronomen</w:t>
      </w:r>
    </w:p>
    <w:p>
      <w:pPr>
        <w:spacing w:before="0" w:after="120" w:line="276" w:lineRule="auto"/>
      </w:pPr>
      <w:r>
        <w:rPr>
          <w:rFonts w:ascii="Arial" w:hAnsi="Arial"/>
          <w:b w:val="0"/>
          <w:i w:val="0"/>
          <w:color w:val="111111"/>
          <w:sz w:val="22"/>
        </w:rPr>
        <w:t>Demonstrativpronomen zeigen auf etwas Bestimmtes: dieser, diese, dieses; jener, jene, jenes; derjenige, diejenige, dasjenige; derselbe, dieselbe, dasselbe. Sie werden wie der bestimmte Artikel oder wie ein Adjektiv nach dem Artikel gebeugt.</w:t>
      </w:r>
    </w:p>
    <w:p>
      <w:pPr>
        <w:spacing w:before="280" w:after="120" w:line="276" w:lineRule="auto"/>
      </w:pPr>
      <w:r>
        <w:rPr>
          <w:rFonts w:ascii="Arial" w:hAnsi="Arial"/>
          <w:b/>
          <w:i w:val="0"/>
          <w:color w:val="111111"/>
          <w:sz w:val="24"/>
        </w:rPr>
        <w:t>Relativpronomen und Bezug</w:t>
      </w:r>
    </w:p>
    <w:p>
      <w:pPr>
        <w:spacing w:before="0" w:after="120" w:line="276" w:lineRule="auto"/>
      </w:pPr>
      <w:r>
        <w:rPr>
          <w:rFonts w:ascii="Arial" w:hAnsi="Arial"/>
          <w:b w:val="0"/>
          <w:i w:val="0"/>
          <w:color w:val="111111"/>
          <w:sz w:val="22"/>
        </w:rPr>
        <w:t>Das Relativpronomen (der, die, das, welcher) richtet sich in Genus und Numerus nach dem Bezugswort im Hauptsatz, im Kasus aber nach seiner eigenen Funktion im Relativsatz: „die Frau, deren Buch ich gelesen habe“ (Genitiv, weil das Buch der Frau gehört). Steht das Bezugswort nicht direkt davor, wird der Satz oft missverstanden: „der Verlag des Autors, der insolvent ist“ lässt offen, wer insolvent ist. Im Zweifel den Satz so umstellen, dass Bezugswort und Relativpronomen nebeneinanderstehen.</w:t>
      </w:r>
    </w:p>
    <w:p>
      <w:pPr>
        <w:spacing w:before="280" w:after="120" w:line="276" w:lineRule="auto"/>
      </w:pPr>
      <w:r>
        <w:rPr>
          <w:rFonts w:ascii="Arial" w:hAnsi="Arial"/>
          <w:b/>
          <w:i w:val="0"/>
          <w:color w:val="111111"/>
          <w:sz w:val="24"/>
        </w:rPr>
        <w:t>Interrogativ- und Indefinitpronomen</w:t>
      </w:r>
    </w:p>
    <w:p>
      <w:pPr>
        <w:spacing w:before="0" w:after="60" w:line="276" w:lineRule="auto"/>
        <w:ind w:left="340" w:hanging="340"/>
      </w:pPr>
      <w:r>
        <w:rPr>
          <w:color w:val="00A85A"/>
        </w:rPr>
        <w:t xml:space="preserve">▪  </w:t>
      </w:r>
      <w:r>
        <w:rPr>
          <w:rFonts w:ascii="Arial" w:hAnsi="Arial"/>
          <w:sz w:val="22"/>
        </w:rPr>
        <w:t>Interrogativpronomen fragen nach einer Person oder Sache: wer, wen, wem, wessen (Personen), was (Sachen), welcher, was für ein.</w:t>
      </w:r>
    </w:p>
    <w:p>
      <w:pPr>
        <w:spacing w:before="0" w:after="60" w:line="276" w:lineRule="auto"/>
        <w:ind w:left="340" w:hanging="340"/>
      </w:pPr>
      <w:r>
        <w:rPr>
          <w:color w:val="00A85A"/>
        </w:rPr>
        <w:t xml:space="preserve">▪  </w:t>
      </w:r>
      <w:r>
        <w:rPr>
          <w:rFonts w:ascii="Arial" w:hAnsi="Arial"/>
          <w:sz w:val="22"/>
        </w:rPr>
        <w:t>Indefinitpronomen bezeichnen etwas Unbestimmtes: man, jemand, niemand, etwas, nichts, jeder, mancher, einige, alle, manche.</w:t>
      </w:r>
    </w:p>
    <w:p>
      <w:pPr>
        <w:spacing w:before="0" w:after="60" w:line="276" w:lineRule="auto"/>
        <w:ind w:left="340" w:hanging="340"/>
      </w:pPr>
      <w:r>
        <w:rPr>
          <w:color w:val="00A85A"/>
        </w:rPr>
        <w:t xml:space="preserve">▪  </w:t>
      </w:r>
      <w:r>
        <w:rPr>
          <w:rFonts w:ascii="Arial" w:hAnsi="Arial"/>
          <w:sz w:val="22"/>
        </w:rPr>
        <w:t>„Man“ steht nur im Nominativ; für Dativ und Akkusativ springt „einem“ und „einen“ ein: „das ärgert einen“, nicht „das ärgert man“.</w:t>
      </w:r>
    </w:p>
    <w:p>
      <w:pPr>
        <w:spacing w:before="280" w:after="120" w:line="276" w:lineRule="auto"/>
      </w:pPr>
      <w:r>
        <w:rPr>
          <w:rFonts w:ascii="Arial" w:hAnsi="Arial"/>
          <w:b/>
          <w:i w:val="0"/>
          <w:color w:val="111111"/>
          <w:sz w:val="24"/>
        </w:rPr>
        <w:t>Typische Fehler</w:t>
      </w:r>
    </w:p>
    <w:p>
      <w:pPr>
        <w:spacing w:before="0" w:after="60" w:line="276" w:lineRule="auto"/>
        <w:ind w:left="340" w:hanging="340"/>
      </w:pPr>
      <w:r>
        <w:rPr>
          <w:color w:val="00A85A"/>
        </w:rPr>
        <w:t xml:space="preserve">▪  </w:t>
      </w:r>
      <w:r>
        <w:rPr>
          <w:rFonts w:ascii="Arial" w:hAnsi="Arial"/>
          <w:sz w:val="22"/>
        </w:rPr>
        <w:t>„Dessen“ (Genitiv, männlich/sächlich) und „deren“ (Genitiv, weiblich/Plural) werden vertauscht: „der Autor, deren Buch“ statt „dessen Buch“.</w:t>
      </w:r>
    </w:p>
    <w:p>
      <w:pPr>
        <w:spacing w:before="0" w:after="60" w:line="276" w:lineRule="auto"/>
        <w:ind w:left="340" w:hanging="340"/>
      </w:pPr>
      <w:r>
        <w:rPr>
          <w:color w:val="00A85A"/>
        </w:rPr>
        <w:t xml:space="preserve">▪  </w:t>
      </w:r>
      <w:r>
        <w:rPr>
          <w:rFonts w:ascii="Arial" w:hAnsi="Arial"/>
          <w:sz w:val="22"/>
        </w:rPr>
        <w:t>„Derselbe“ (dieselbe Sache, echte Identität) und „der gleiche“ (eine gleichartige, aber andere Sache) werden gleichgesetzt: „wir wohnen im selben Haus“ heißt ein Haus, „im gleichen Haus“ könnte auch ein baugleiches meinen.</w:t>
      </w:r>
    </w:p>
    <w:p>
      <w:pPr>
        <w:spacing w:before="0" w:after="60" w:line="276" w:lineRule="auto"/>
        <w:ind w:left="340" w:hanging="340"/>
      </w:pPr>
      <w:r>
        <w:rPr>
          <w:color w:val="00A85A"/>
        </w:rPr>
        <w:t xml:space="preserve">▪  </w:t>
      </w:r>
      <w:r>
        <w:rPr>
          <w:rFonts w:ascii="Arial" w:hAnsi="Arial"/>
          <w:sz w:val="22"/>
        </w:rPr>
        <w:t>Ein Relativpronomen bezieht sich auf das nächststehende statt auf das gemeinte Nomen, weil der Satz zu weit auseinander gezogen ist.</w:t>
      </w:r>
    </w:p>
    <w:p>
      <w:pPr>
        <w:spacing w:before="0" w:after="80" w:line="276" w:lineRule="auto"/>
      </w:pPr>
      <w:r>
        <w:rPr>
          <w:rFonts w:ascii="Arial" w:hAnsi="Arial"/>
          <w:b w:val="0"/>
          <w:i w:val="0"/>
          <w:color w:val="555555"/>
          <w:sz w:val="18"/>
        </w:rPr>
        <w:t>Merkzettel von korrektur.de, frei nutzbar. Stand: September 2026.</w:t>
      </w:r>
    </w:p>
    <w:sectPr w:rsidR="00FC693F" w:rsidRPr="0006063C" w:rsidSect="00034616">
      <w:footerReference w:type="default" r:id="rId12"/>
      <w:pgSz w:w="11906" w:h="16838"/>
      <w:pgMar w:top="964" w:right="1134" w:bottom="850" w:left="1134" w:header="720" w:footer="720" w:gutter="0"/>
      <w:cols w:space="720"/>
      <w:docGrid w:linePitch="360"/>
      <w:pgNumType w:fmt="decimal"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Arial" w:hAnsi="Arial" w:cs="Arial" w:eastAsia="Arial"/>
      <w:color w:val="111111"/>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Arial" w:hAnsi="Arial" w:cs="Arial" w:eastAsia="Arial"/>
      <w:b/>
      <w:bCs/>
      <w:color w:val="111111"/>
      <w:sz w:val="32"/>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cs="Arial" w:eastAsia="Arial"/>
      <w:b/>
      <w:bCs/>
      <w:color w:val="111111"/>
      <w:sz w:val="27"/>
      <w:szCs w:val="26"/>
    </w:rPr>
  </w:style>
  <w:style w:type="paragraph" w:styleId="Heading3">
    <w:name w:val="heading 3"/>
    <w:basedOn w:val="Normal"/>
    <w:next w:val="Normal"/>
    <w:link w:val="Heading3Char"/>
    <w:uiPriority w:val="9"/>
    <w:unhideWhenUsed/>
    <w:qFormat/>
    <w:rsid w:val="00FC693F"/>
    <w:pPr>
      <w:keepNext/>
      <w:keepLines/>
      <w:spacing w:before="240" w:after="100"/>
      <w:outlineLvl w:val="2"/>
    </w:pPr>
    <w:rPr>
      <w:rFonts w:ascii="Arial" w:hAnsi="Arial" w:cs="Arial" w:eastAsia="Arial"/>
      <w:b/>
      <w:bCs/>
      <w:color w:val="111111"/>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korrektur.de" TargetMode="Externa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Pronomen: Merkzettel mit allen Arten und Formen</dc:title>
  <dc:subject>Merkzettel zum Ausdrucken, zwei Seiten</dc:subject>
  <dc:creator>korrektur.de</dc:creator>
  <cp:keywords>Pronomen, Personalpronomen, Possessivpronomen, Reflexivpronomen, Relativpronomen, Merkzettel, Deutsch</cp:keywords>
  <dc:description>Kostenlose Vorlage von korrektur.de. Aktuelle Fassung: https://korrektur.de/pronomen</dc:description>
  <cp:lastModifiedBy>korrektur.de</cp:lastModifiedBy>
  <cp:revision>1</cp:revision>
  <dcterms:created xsi:type="dcterms:W3CDTF">2013-12-23T23:15:00Z</dcterms:created>
  <dcterms:modified xsi:type="dcterms:W3CDTF">2013-12-23T23:15:00Z</dcterms:modified>
  <cp:category>Vorlage</cp:category>
</cp:coreProperties>
</file>