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MERKZETTEL ZUM FREIEN GEBRAUCH</w:t>
      </w:r>
    </w:p>
    <w:p>
      <w:pPr>
        <w:spacing w:before="0" w:after="280" w:line="252" w:lineRule="auto"/>
      </w:pPr>
      <w:r>
        <w:rPr>
          <w:rFonts w:ascii="Arial" w:hAnsi="Arial"/>
          <w:b/>
          <w:i w:val="0"/>
          <w:color w:val="111111"/>
          <w:sz w:val="38"/>
        </w:rPr>
        <w:t>Kommaregeln auf einer Seite</w:t>
      </w:r>
    </w:p>
    <w:p>
      <w:pPr>
        <w:spacing w:before="0" w:after="160" w:line="276" w:lineRule="auto"/>
      </w:pPr>
      <w:r>
        <w:rPr>
          <w:rFonts w:ascii="Arial" w:hAnsi="Arial"/>
          <w:b w:val="0"/>
          <w:i w:val="0"/>
          <w:color w:val="111111"/>
          <w:sz w:val="22"/>
        </w:rPr>
        <w:t>Auf der nächsten Seite stehen die zehn Kommaregeln, mit denen du rund 95 Prozent aller Kommas im Deutschen richtig setzt. Zu jeder Regel ein Beispiel, das Komma ist markiert.</w:t>
      </w:r>
    </w:p>
    <w:p>
      <w:pPr>
        <w:spacing w:before="280" w:after="120" w:line="276" w:lineRule="auto"/>
      </w:pPr>
      <w:r>
        <w:rPr>
          <w:rFonts w:ascii="Arial" w:hAnsi="Arial"/>
          <w:b/>
          <w:i w:val="0"/>
          <w:color w:val="111111"/>
          <w:sz w:val="24"/>
        </w:rPr>
        <w:t>So nutzt du den Merkzettel</w:t>
      </w:r>
    </w:p>
    <w:p>
      <w:pPr>
        <w:spacing w:before="0" w:after="80" w:line="276" w:lineRule="auto"/>
        <w:ind w:left="425" w:hanging="425"/>
      </w:pPr>
      <w:r>
        <w:rPr>
          <w:rFonts w:ascii="Arial" w:hAnsi="Arial"/>
          <w:b/>
          <w:color w:val="006B46"/>
        </w:rPr>
        <w:t xml:space="preserve">1.  </w:t>
      </w:r>
      <w:r>
        <w:rPr>
          <w:rFonts w:ascii="Arial" w:hAnsi="Arial"/>
          <w:sz w:val="22"/>
        </w:rPr>
        <w:t>Drucke nur die Seiten ab Seite 2. Diese Anleitungsseite brauchst du nicht an der Wand.</w:t>
      </w:r>
    </w:p>
    <w:p>
      <w:pPr>
        <w:spacing w:before="0" w:after="80" w:line="276" w:lineRule="auto"/>
        <w:ind w:left="425" w:hanging="425"/>
      </w:pPr>
      <w:r>
        <w:rPr>
          <w:rFonts w:ascii="Arial" w:hAnsi="Arial"/>
          <w:b/>
          <w:color w:val="006B46"/>
        </w:rPr>
        <w:t xml:space="preserve">2.  </w:t>
      </w:r>
      <w:r>
        <w:rPr>
          <w:rFonts w:ascii="Arial" w:hAnsi="Arial"/>
          <w:sz w:val="22"/>
        </w:rPr>
        <w:t>Häng den Zettel dorthin, wo du schreibst, oder leg ihn vorn in die Mappe. Ein Merkzettel wirkt nur, wenn er im Blick ist.</w:t>
      </w:r>
    </w:p>
    <w:p>
      <w:pPr>
        <w:spacing w:before="0" w:after="80" w:line="276" w:lineRule="auto"/>
        <w:ind w:left="425" w:hanging="425"/>
      </w:pPr>
      <w:r>
        <w:rPr>
          <w:rFonts w:ascii="Arial" w:hAnsi="Arial"/>
          <w:b/>
          <w:color w:val="006B46"/>
        </w:rPr>
        <w:t xml:space="preserve">3.  </w:t>
      </w:r>
      <w:r>
        <w:rPr>
          <w:rFonts w:ascii="Arial" w:hAnsi="Arial"/>
          <w:sz w:val="22"/>
        </w:rPr>
        <w:t>Lies beim Überarbeiten einmal nur nach diesem Zettel durch den Text. Eine Regel pro Durchgang findet mehr als alle auf einmal.</w:t>
      </w:r>
    </w:p>
    <w:p>
      <w:pPr>
        <w:spacing w:before="0" w:after="80" w:line="276" w:lineRule="auto"/>
        <w:ind w:left="425" w:hanging="425"/>
      </w:pPr>
      <w:r>
        <w:rPr>
          <w:rFonts w:ascii="Arial" w:hAnsi="Arial"/>
          <w:b/>
          <w:color w:val="006B46"/>
        </w:rPr>
        <w:t xml:space="preserve">4.  </w:t>
      </w:r>
      <w:r>
        <w:rPr>
          <w:rFonts w:ascii="Arial" w:hAnsi="Arial"/>
          <w:sz w:val="22"/>
        </w:rPr>
        <w:t>Die Word-Datei darfst du kürzen und ergänzen: streich, was du sicher kannst, und trag deine eigenen Stolperstellen ein.</w:t>
      </w:r>
    </w:p>
    <w:p>
      <w:pPr>
        <w:spacing w:before="280" w:after="120" w:line="276" w:lineRule="auto"/>
      </w:pPr>
      <w:r>
        <w:rPr>
          <w:rFonts w:ascii="Arial" w:hAnsi="Arial"/>
          <w:b/>
          <w:i w:val="0"/>
          <w:color w:val="111111"/>
          <w:sz w:val="24"/>
        </w:rPr>
        <w:t>Wofür der Zettel gedacht ist</w:t>
      </w:r>
    </w:p>
    <w:p>
      <w:pPr>
        <w:spacing w:before="0" w:after="80" w:line="276" w:lineRule="auto"/>
        <w:ind w:left="340" w:hanging="340"/>
      </w:pPr>
      <w:r>
        <w:rPr>
          <w:color w:val="00A85A"/>
        </w:rPr>
        <w:t xml:space="preserve">▪  </w:t>
      </w:r>
      <w:r>
        <w:rPr>
          <w:rFonts w:ascii="Arial" w:hAnsi="Arial"/>
          <w:sz w:val="22"/>
        </w:rPr>
        <w:t>Hausarbeit, Bachelorarbeit, Bewerbung: alles, was jemand liest, der Fehler zählt.</w:t>
      </w:r>
    </w:p>
    <w:p>
      <w:pPr>
        <w:spacing w:before="0" w:after="80" w:line="276" w:lineRule="auto"/>
        <w:ind w:left="340" w:hanging="340"/>
      </w:pPr>
      <w:r>
        <w:rPr>
          <w:color w:val="00A85A"/>
        </w:rPr>
        <w:t xml:space="preserve">▪  </w:t>
      </w:r>
      <w:r>
        <w:rPr>
          <w:rFonts w:ascii="Arial" w:hAnsi="Arial"/>
          <w:sz w:val="22"/>
        </w:rPr>
        <w:t>Den letzten Durchgang vor der Abgabe: einmal nur auf Kommas achten.</w:t>
      </w:r>
    </w:p>
    <w:p>
      <w:pPr>
        <w:spacing w:before="0" w:after="80" w:line="276" w:lineRule="auto"/>
        <w:ind w:left="340" w:hanging="340"/>
      </w:pPr>
      <w:r>
        <w:rPr>
          <w:color w:val="00A85A"/>
        </w:rPr>
        <w:t xml:space="preserve">▪  </w:t>
      </w:r>
      <w:r>
        <w:rPr>
          <w:rFonts w:ascii="Arial" w:hAnsi="Arial"/>
          <w:sz w:val="22"/>
        </w:rPr>
        <w:t>Schülerinnen, Schüler und alle, die Deutsch als Fremdsprache schreiben.</w:t>
      </w:r>
    </w:p>
    <w:p>
      <w:pPr>
        <w:spacing w:before="280" w:after="120" w:line="276" w:lineRule="auto"/>
      </w:pPr>
      <w:r>
        <w:rPr>
          <w:rFonts w:ascii="Arial" w:hAnsi="Arial"/>
          <w:b/>
          <w:i w:val="0"/>
          <w:color w:val="111111"/>
          <w:sz w:val="24"/>
        </w:rPr>
        <w:t>Was uns in der Korrektur dazu am häufigsten begegnet</w:t>
      </w:r>
    </w:p>
    <w:p>
      <w:pPr>
        <w:spacing w:before="0" w:after="80" w:line="276" w:lineRule="auto"/>
        <w:ind w:left="340" w:hanging="340"/>
      </w:pPr>
      <w:r>
        <w:rPr>
          <w:color w:val="00A85A"/>
        </w:rPr>
        <w:t xml:space="preserve">▪  </w:t>
      </w:r>
      <w:r>
        <w:rPr>
          <w:rFonts w:ascii="Arial" w:hAnsi="Arial"/>
          <w:sz w:val="22"/>
        </w:rPr>
        <w:t>Das fehlende Komma vor „dass“, „weil“ und „ob“: der Nebensatz beginnt, das Komma fehlt.</w:t>
      </w:r>
    </w:p>
    <w:p>
      <w:pPr>
        <w:spacing w:before="0" w:after="80" w:line="276" w:lineRule="auto"/>
        <w:ind w:left="340" w:hanging="340"/>
      </w:pPr>
      <w:r>
        <w:rPr>
          <w:color w:val="00A85A"/>
        </w:rPr>
        <w:t xml:space="preserve">▪  </w:t>
      </w:r>
      <w:r>
        <w:rPr>
          <w:rFonts w:ascii="Arial" w:hAnsi="Arial"/>
          <w:sz w:val="22"/>
        </w:rPr>
        <w:t>Das fehlende zweite Komma: ein eingeschobener Nebensatz wird vorn abgetrennt, hinten vergessen.</w:t>
      </w:r>
    </w:p>
    <w:p>
      <w:pPr>
        <w:spacing w:before="0" w:after="80" w:line="276" w:lineRule="auto"/>
        <w:ind w:left="340" w:hanging="340"/>
      </w:pPr>
      <w:r>
        <w:rPr>
          <w:color w:val="00A85A"/>
        </w:rPr>
        <w:t xml:space="preserve">▪  </w:t>
      </w:r>
      <w:r>
        <w:rPr>
          <w:rFonts w:ascii="Arial" w:hAnsi="Arial"/>
          <w:sz w:val="22"/>
        </w:rPr>
        <w:t>Ein Komma vor „und“, wo keins hingehört: zwei Hauptsätze mit „und“ brauchen keins, obwohl es erlaubt ist.</w:t>
      </w:r>
    </w:p>
    <w:p>
      <w:pPr>
        <w:spacing w:before="0" w:after="80" w:line="276" w:lineRule="auto"/>
        <w:ind w:left="340" w:hanging="340"/>
      </w:pPr>
      <w:r>
        <w:rPr>
          <w:color w:val="00A85A"/>
        </w:rPr>
        <w:t xml:space="preserve">▪  </w:t>
      </w:r>
      <w:r>
        <w:rPr>
          <w:rFonts w:ascii="Arial" w:hAnsi="Arial"/>
          <w:sz w:val="22"/>
        </w:rPr>
        <w:t>Ein Komma nach dem Subjekt, weil der Satz lang wird. Länge allein ist nie ein Grund.</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Wenn es darauf ankommt</w:t>
            </w:r>
          </w:p>
          <w:p>
            <w:pPr>
              <w:spacing w:after="120"/>
            </w:pPr>
            <w:r>
              <w:rPr>
                <w:rFonts w:ascii="Arial" w:hAnsi="Arial"/>
                <w:sz w:val="20"/>
              </w:rPr>
              <w:t xml:space="preserve">Ein einziges falsches Komma fällt genau der Person auf, die deinen Text bewertet. Wir lesen Zeichensetzung, Rechtschreibung, Grammatik und Ausdruck 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Diesen Merkzettel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80" w:after="180" w:line="276" w:lineRule="auto"/>
      </w:pPr>
      <w:r>
        <w:rPr>
          <w:rFonts w:ascii="Arial" w:hAnsi="Arial"/>
          <w:b/>
          <w:i w:val="0"/>
          <w:color w:val="006B46"/>
          <w:sz w:val="17"/>
        </w:rPr>
        <w:t>MERKZETTEL ZEICHENSETZUNG</w:t>
      </w:r>
    </w:p>
    <w:p>
      <w:pPr>
        <w:spacing w:before="0" w:after="280" w:line="252" w:lineRule="auto"/>
      </w:pPr>
      <w:r>
        <w:rPr>
          <w:rFonts w:ascii="Arial" w:hAnsi="Arial"/>
          <w:b/>
          <w:i w:val="0"/>
          <w:color w:val="111111"/>
          <w:sz w:val="38"/>
        </w:rPr>
        <w:t>Kommaregeln auf einer Seite</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00" w:after="100"/>
            </w:pPr>
            <w:r>
              <w:rPr>
                <w:rFonts w:ascii="Arial" w:hAnsi="Arial"/>
                <w:b/>
                <w:color w:val="006B46"/>
                <w:sz w:val="22"/>
              </w:rPr>
              <w:t>Ein Komma trennt Sätze, Aufzählungen und Einschübe. Es trennt nie Subjekt und Prädikat.</w:t>
            </w:r>
          </w:p>
        </w:tc>
      </w:tr>
    </w:tbl>
    <w:p>
      <w:pPr>
        <w:spacing w:before="0" w:after="140" w:line="20" w:lineRule="exact"/>
      </w:pP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3707"/>
        <w:gridCol w:w="5931"/>
      </w:tblGrid>
      <w:tr>
        <w:tc>
          <w:tcPr>
            <w:tcW w:type="dxa" w:w="3707"/>
            <w:shd w:val="clear" w:color="auto" w:fill="F2F8F4"/>
            <w:tcMar>
              <w:left w:w="80" w:type="dxa"/>
              <w:right w:w="80" w:type="dxa"/>
            </w:tcMar>
          </w:tcPr>
          <w:p>
            <w:pPr>
              <w:spacing w:before="40" w:after="40" w:line="264" w:lineRule="auto"/>
            </w:pPr>
            <w:r>
              <w:rPr>
                <w:rFonts w:ascii="Arial" w:hAnsi="Arial"/>
                <w:b/>
                <w:color w:val="006B46"/>
                <w:sz w:val="19"/>
              </w:rPr>
              <w:t>Regel</w:t>
            </w:r>
          </w:p>
        </w:tc>
        <w:tc>
          <w:tcPr>
            <w:tcW w:type="dxa" w:w="5931"/>
            <w:shd w:val="clear" w:color="auto" w:fill="F2F8F4"/>
            <w:tcMar>
              <w:left w:w="80" w:type="dxa"/>
              <w:right w:w="80" w:type="dxa"/>
            </w:tcMar>
          </w:tcPr>
          <w:p>
            <w:pPr>
              <w:spacing w:before="40" w:after="40" w:line="264" w:lineRule="auto"/>
            </w:pPr>
            <w:r>
              <w:rPr>
                <w:rFonts w:ascii="Arial" w:hAnsi="Arial"/>
                <w:b/>
                <w:color w:val="006B46"/>
                <w:sz w:val="19"/>
              </w:rPr>
              <w:t>Beispiel (Komma markiert)</w:t>
            </w:r>
          </w:p>
        </w:tc>
      </w:tr>
      <w:tr>
        <w:tc>
          <w:tcPr>
            <w:tcW w:type="dxa" w:w="3707"/>
            <w:tcMar>
              <w:left w:w="80" w:type="dxa"/>
              <w:right w:w="80" w:type="dxa"/>
            </w:tcMar>
          </w:tcPr>
          <w:p>
            <w:pPr>
              <w:spacing w:before="40" w:after="40" w:line="264" w:lineRule="auto"/>
            </w:pPr>
            <w:r>
              <w:rPr>
                <w:rFonts w:ascii="Arial" w:hAnsi="Arial"/>
                <w:b/>
                <w:color w:val="111111"/>
                <w:sz w:val="19"/>
              </w:rPr>
              <w:t>1. Nebensatz mit Einleitewort (dass, weil, ob, wenn, obwohl, als, damit)</w:t>
            </w:r>
          </w:p>
        </w:tc>
        <w:tc>
          <w:tcPr>
            <w:tcW w:type="dxa" w:w="5931"/>
            <w:tcMar>
              <w:left w:w="80" w:type="dxa"/>
              <w:right w:w="80" w:type="dxa"/>
            </w:tcMar>
          </w:tcPr>
          <w:p>
            <w:pPr>
              <w:spacing w:before="40" w:after="40" w:line="264" w:lineRule="auto"/>
            </w:pPr>
            <w:r>
              <w:rPr>
                <w:rFonts w:ascii="Arial" w:hAnsi="Arial"/>
                <w:b w:val="0"/>
                <w:color w:val="111111"/>
                <w:sz w:val="19"/>
              </w:rPr>
              <w:t>Ich weiß[,] dass du kommst. Er bleibt[,] weil es regnet.</w:t>
            </w:r>
          </w:p>
        </w:tc>
      </w:tr>
      <w:tr>
        <w:tc>
          <w:tcPr>
            <w:tcW w:type="dxa" w:w="3707"/>
            <w:tcMar>
              <w:left w:w="80" w:type="dxa"/>
              <w:right w:w="80" w:type="dxa"/>
            </w:tcMar>
          </w:tcPr>
          <w:p>
            <w:pPr>
              <w:spacing w:before="40" w:after="40" w:line="264" w:lineRule="auto"/>
            </w:pPr>
            <w:r>
              <w:rPr>
                <w:rFonts w:ascii="Arial" w:hAnsi="Arial"/>
                <w:b/>
                <w:color w:val="111111"/>
                <w:sz w:val="19"/>
              </w:rPr>
              <w:t>2. Relativsatz (der, die, das, welcher, wo, wobei)</w:t>
            </w:r>
          </w:p>
        </w:tc>
        <w:tc>
          <w:tcPr>
            <w:tcW w:type="dxa" w:w="5931"/>
            <w:tcMar>
              <w:left w:w="80" w:type="dxa"/>
              <w:right w:w="80" w:type="dxa"/>
            </w:tcMar>
          </w:tcPr>
          <w:p>
            <w:pPr>
              <w:spacing w:before="40" w:after="40" w:line="264" w:lineRule="auto"/>
            </w:pPr>
            <w:r>
              <w:rPr>
                <w:rFonts w:ascii="Arial" w:hAnsi="Arial"/>
                <w:b w:val="0"/>
                <w:color w:val="111111"/>
                <w:sz w:val="19"/>
              </w:rPr>
              <w:t>Das Buch[,] das du empfohlen hast[,] ist gut.</w:t>
            </w:r>
          </w:p>
        </w:tc>
      </w:tr>
      <w:tr>
        <w:tc>
          <w:tcPr>
            <w:tcW w:type="dxa" w:w="3707"/>
            <w:tcMar>
              <w:left w:w="80" w:type="dxa"/>
              <w:right w:w="80" w:type="dxa"/>
            </w:tcMar>
          </w:tcPr>
          <w:p>
            <w:pPr>
              <w:spacing w:before="40" w:after="40" w:line="264" w:lineRule="auto"/>
            </w:pPr>
            <w:r>
              <w:rPr>
                <w:rFonts w:ascii="Arial" w:hAnsi="Arial"/>
                <w:b/>
                <w:color w:val="111111"/>
                <w:sz w:val="19"/>
              </w:rPr>
              <w:t>3. Eingeschobener Nebensatz: vorn UND hinten</w:t>
            </w:r>
          </w:p>
        </w:tc>
        <w:tc>
          <w:tcPr>
            <w:tcW w:type="dxa" w:w="5931"/>
            <w:tcMar>
              <w:left w:w="80" w:type="dxa"/>
              <w:right w:w="80" w:type="dxa"/>
            </w:tcMar>
          </w:tcPr>
          <w:p>
            <w:pPr>
              <w:spacing w:before="40" w:after="40" w:line="264" w:lineRule="auto"/>
            </w:pPr>
            <w:r>
              <w:rPr>
                <w:rFonts w:ascii="Arial" w:hAnsi="Arial"/>
                <w:b w:val="0"/>
                <w:color w:val="111111"/>
                <w:sz w:val="19"/>
              </w:rPr>
              <w:t>Der Vertrag[,] den wir gestern unterschrieben haben[,] gilt ab Mai.</w:t>
            </w:r>
          </w:p>
        </w:tc>
      </w:tr>
      <w:tr>
        <w:tc>
          <w:tcPr>
            <w:tcW w:type="dxa" w:w="3707"/>
            <w:tcMar>
              <w:left w:w="80" w:type="dxa"/>
              <w:right w:w="80" w:type="dxa"/>
            </w:tcMar>
          </w:tcPr>
          <w:p>
            <w:pPr>
              <w:spacing w:before="40" w:after="40" w:line="264" w:lineRule="auto"/>
            </w:pPr>
            <w:r>
              <w:rPr>
                <w:rFonts w:ascii="Arial" w:hAnsi="Arial"/>
                <w:b/>
                <w:color w:val="111111"/>
                <w:sz w:val="19"/>
              </w:rPr>
              <w:t>4. Hauptsätze ohne Bindewort</w:t>
            </w:r>
          </w:p>
        </w:tc>
        <w:tc>
          <w:tcPr>
            <w:tcW w:type="dxa" w:w="5931"/>
            <w:tcMar>
              <w:left w:w="80" w:type="dxa"/>
              <w:right w:w="80" w:type="dxa"/>
            </w:tcMar>
          </w:tcPr>
          <w:p>
            <w:pPr>
              <w:spacing w:before="40" w:after="40" w:line="264" w:lineRule="auto"/>
            </w:pPr>
            <w:r>
              <w:rPr>
                <w:rFonts w:ascii="Arial" w:hAnsi="Arial"/>
                <w:b w:val="0"/>
                <w:color w:val="111111"/>
                <w:sz w:val="19"/>
              </w:rPr>
              <w:t>Es wurde dunkel[,] die Lichter gingen an.</w:t>
            </w:r>
          </w:p>
        </w:tc>
      </w:tr>
      <w:tr>
        <w:tc>
          <w:tcPr>
            <w:tcW w:type="dxa" w:w="3707"/>
            <w:tcMar>
              <w:left w:w="80" w:type="dxa"/>
              <w:right w:w="80" w:type="dxa"/>
            </w:tcMar>
          </w:tcPr>
          <w:p>
            <w:pPr>
              <w:spacing w:before="40" w:after="40" w:line="264" w:lineRule="auto"/>
            </w:pPr>
            <w:r>
              <w:rPr>
                <w:rFonts w:ascii="Arial" w:hAnsi="Arial"/>
                <w:b/>
                <w:color w:val="111111"/>
                <w:sz w:val="19"/>
              </w:rPr>
              <w:t>5. Hauptsätze mit und / oder: Komma erlaubt, nicht nötig</w:t>
            </w:r>
          </w:p>
        </w:tc>
        <w:tc>
          <w:tcPr>
            <w:tcW w:type="dxa" w:w="5931"/>
            <w:tcMar>
              <w:left w:w="80" w:type="dxa"/>
              <w:right w:w="80" w:type="dxa"/>
            </w:tcMar>
          </w:tcPr>
          <w:p>
            <w:pPr>
              <w:spacing w:before="40" w:after="40" w:line="264" w:lineRule="auto"/>
            </w:pPr>
            <w:r>
              <w:rPr>
                <w:rFonts w:ascii="Arial" w:hAnsi="Arial"/>
                <w:b w:val="0"/>
                <w:color w:val="111111"/>
                <w:sz w:val="19"/>
              </w:rPr>
              <w:t>Sie las den Text und er tippte weiter. (Auch mit Komma richtig.)</w:t>
            </w:r>
          </w:p>
        </w:tc>
      </w:tr>
      <w:tr>
        <w:tc>
          <w:tcPr>
            <w:tcW w:type="dxa" w:w="3707"/>
            <w:tcMar>
              <w:left w:w="80" w:type="dxa"/>
              <w:right w:w="80" w:type="dxa"/>
            </w:tcMar>
          </w:tcPr>
          <w:p>
            <w:pPr>
              <w:spacing w:before="40" w:after="40" w:line="264" w:lineRule="auto"/>
            </w:pPr>
            <w:r>
              <w:rPr>
                <w:rFonts w:ascii="Arial" w:hAnsi="Arial"/>
                <w:b/>
                <w:color w:val="111111"/>
                <w:sz w:val="19"/>
              </w:rPr>
              <w:t>6. Aufzählung ohne und / oder</w:t>
            </w:r>
          </w:p>
        </w:tc>
        <w:tc>
          <w:tcPr>
            <w:tcW w:type="dxa" w:w="5931"/>
            <w:tcMar>
              <w:left w:w="80" w:type="dxa"/>
              <w:right w:w="80" w:type="dxa"/>
            </w:tcMar>
          </w:tcPr>
          <w:p>
            <w:pPr>
              <w:spacing w:before="40" w:after="40" w:line="264" w:lineRule="auto"/>
            </w:pPr>
            <w:r>
              <w:rPr>
                <w:rFonts w:ascii="Arial" w:hAnsi="Arial"/>
                <w:b w:val="0"/>
                <w:color w:val="111111"/>
                <w:sz w:val="19"/>
              </w:rPr>
              <w:t>Sie brachte Brot[,] Käse[,] Obst und Wein.</w:t>
            </w:r>
          </w:p>
        </w:tc>
      </w:tr>
      <w:tr>
        <w:tc>
          <w:tcPr>
            <w:tcW w:type="dxa" w:w="3707"/>
            <w:tcMar>
              <w:left w:w="80" w:type="dxa"/>
              <w:right w:w="80" w:type="dxa"/>
            </w:tcMar>
          </w:tcPr>
          <w:p>
            <w:pPr>
              <w:spacing w:before="40" w:after="40" w:line="264" w:lineRule="auto"/>
            </w:pPr>
            <w:r>
              <w:rPr>
                <w:rFonts w:ascii="Arial" w:hAnsi="Arial"/>
                <w:b/>
                <w:color w:val="111111"/>
                <w:sz w:val="19"/>
              </w:rPr>
              <w:t>7. Nachgestellte Erläuterung (also, das heißt, zum Beispiel, nämlich)</w:t>
            </w:r>
          </w:p>
        </w:tc>
        <w:tc>
          <w:tcPr>
            <w:tcW w:type="dxa" w:w="5931"/>
            <w:tcMar>
              <w:left w:w="80" w:type="dxa"/>
              <w:right w:w="80" w:type="dxa"/>
            </w:tcMar>
          </w:tcPr>
          <w:p>
            <w:pPr>
              <w:spacing w:before="40" w:after="40" w:line="264" w:lineRule="auto"/>
            </w:pPr>
            <w:r>
              <w:rPr>
                <w:rFonts w:ascii="Arial" w:hAnsi="Arial"/>
                <w:b w:val="0"/>
                <w:color w:val="111111"/>
                <w:sz w:val="19"/>
              </w:rPr>
              <w:t>Sie kam spät[,] nämlich erst um elf.</w:t>
            </w:r>
          </w:p>
        </w:tc>
      </w:tr>
      <w:tr>
        <w:tc>
          <w:tcPr>
            <w:tcW w:type="dxa" w:w="3707"/>
            <w:tcMar>
              <w:left w:w="80" w:type="dxa"/>
              <w:right w:w="80" w:type="dxa"/>
            </w:tcMar>
          </w:tcPr>
          <w:p>
            <w:pPr>
              <w:spacing w:before="40" w:after="40" w:line="264" w:lineRule="auto"/>
            </w:pPr>
            <w:r>
              <w:rPr>
                <w:rFonts w:ascii="Arial" w:hAnsi="Arial"/>
                <w:b/>
                <w:color w:val="111111"/>
                <w:sz w:val="19"/>
              </w:rPr>
              <w:t>8. Anrede, Ausruf, Bekräftigung</w:t>
            </w:r>
          </w:p>
        </w:tc>
        <w:tc>
          <w:tcPr>
            <w:tcW w:type="dxa" w:w="5931"/>
            <w:tcMar>
              <w:left w:w="80" w:type="dxa"/>
              <w:right w:w="80" w:type="dxa"/>
            </w:tcMar>
          </w:tcPr>
          <w:p>
            <w:pPr>
              <w:spacing w:before="40" w:after="40" w:line="264" w:lineRule="auto"/>
            </w:pPr>
            <w:r>
              <w:rPr>
                <w:rFonts w:ascii="Arial" w:hAnsi="Arial"/>
                <w:b w:val="0"/>
                <w:color w:val="111111"/>
                <w:sz w:val="19"/>
              </w:rPr>
              <w:t>Anna[,] hörst du mir zu? Ja[,] das stimmt.</w:t>
            </w:r>
          </w:p>
        </w:tc>
      </w:tr>
      <w:tr>
        <w:tc>
          <w:tcPr>
            <w:tcW w:type="dxa" w:w="3707"/>
            <w:tcMar>
              <w:left w:w="80" w:type="dxa"/>
              <w:right w:w="80" w:type="dxa"/>
            </w:tcMar>
          </w:tcPr>
          <w:p>
            <w:pPr>
              <w:spacing w:before="40" w:after="40" w:line="264" w:lineRule="auto"/>
            </w:pPr>
            <w:r>
              <w:rPr>
                <w:rFonts w:ascii="Arial" w:hAnsi="Arial"/>
                <w:b/>
                <w:color w:val="111111"/>
                <w:sz w:val="19"/>
              </w:rPr>
              <w:t>9. Infinitivgruppe mit um, ohne, statt, anstatt, außer, als</w:t>
            </w:r>
          </w:p>
        </w:tc>
        <w:tc>
          <w:tcPr>
            <w:tcW w:type="dxa" w:w="5931"/>
            <w:tcMar>
              <w:left w:w="80" w:type="dxa"/>
              <w:right w:w="80" w:type="dxa"/>
            </w:tcMar>
          </w:tcPr>
          <w:p>
            <w:pPr>
              <w:spacing w:before="40" w:after="40" w:line="264" w:lineRule="auto"/>
            </w:pPr>
            <w:r>
              <w:rPr>
                <w:rFonts w:ascii="Arial" w:hAnsi="Arial"/>
                <w:b w:val="0"/>
                <w:color w:val="111111"/>
                <w:sz w:val="19"/>
              </w:rPr>
              <w:t>Er kam[,] um zu helfen. Sie ging[,] ohne sich zu verabschieden.</w:t>
            </w:r>
          </w:p>
        </w:tc>
      </w:tr>
      <w:tr>
        <w:tc>
          <w:tcPr>
            <w:tcW w:type="dxa" w:w="3707"/>
            <w:tcMar>
              <w:left w:w="80" w:type="dxa"/>
              <w:right w:w="80" w:type="dxa"/>
            </w:tcMar>
          </w:tcPr>
          <w:p>
            <w:pPr>
              <w:spacing w:before="40" w:after="40" w:line="264" w:lineRule="auto"/>
            </w:pPr>
            <w:r>
              <w:rPr>
                <w:rFonts w:ascii="Arial" w:hAnsi="Arial"/>
                <w:b/>
                <w:color w:val="111111"/>
                <w:sz w:val="19"/>
              </w:rPr>
              <w:t>10. Infinitivgruppe, die von einem Nomen oder Hinweiswort abhängt</w:t>
            </w:r>
          </w:p>
        </w:tc>
        <w:tc>
          <w:tcPr>
            <w:tcW w:type="dxa" w:w="5931"/>
            <w:tcMar>
              <w:left w:w="80" w:type="dxa"/>
              <w:right w:w="80" w:type="dxa"/>
            </w:tcMar>
          </w:tcPr>
          <w:p>
            <w:pPr>
              <w:spacing w:before="40" w:after="40" w:line="264" w:lineRule="auto"/>
            </w:pPr>
            <w:r>
              <w:rPr>
                <w:rFonts w:ascii="Arial" w:hAnsi="Arial"/>
                <w:b w:val="0"/>
                <w:color w:val="111111"/>
                <w:sz w:val="19"/>
              </w:rPr>
              <w:t>Sie hatte die Absicht[,] früh zu gehen. Ich bitte darum[,] leise zu sein.</w:t>
            </w:r>
          </w:p>
        </w:tc>
      </w:tr>
    </w:tbl>
    <w:p>
      <w:pPr>
        <w:spacing w:before="0" w:after="120" w:line="276" w:lineRule="auto"/>
      </w:pPr>
    </w:p>
    <w:p>
      <w:pPr>
        <w:spacing w:before="280" w:after="120" w:line="276" w:lineRule="auto"/>
      </w:pPr>
      <w:r>
        <w:rPr>
          <w:rFonts w:ascii="Arial" w:hAnsi="Arial"/>
          <w:b/>
          <w:i w:val="0"/>
          <w:color w:val="111111"/>
          <w:sz w:val="24"/>
        </w:rPr>
        <w:t>Kein Komma</w:t>
      </w:r>
    </w:p>
    <w:p>
      <w:pPr>
        <w:spacing w:before="0" w:after="60" w:line="276" w:lineRule="auto"/>
        <w:ind w:left="340" w:hanging="340"/>
      </w:pPr>
      <w:r>
        <w:rPr>
          <w:color w:val="00A85A"/>
        </w:rPr>
        <w:t xml:space="preserve">▪  </w:t>
      </w:r>
      <w:r>
        <w:rPr>
          <w:rFonts w:ascii="Arial" w:hAnsi="Arial"/>
          <w:sz w:val="22"/>
        </w:rPr>
        <w:t>Zwischen Subjekt und Prädikat, egal wie lang das Subjekt ist: „Die im Frühjahr neu eingestellten Mitarbeiter arbeiten im Lager.“</w:t>
      </w:r>
    </w:p>
    <w:p>
      <w:pPr>
        <w:spacing w:before="0" w:after="60" w:line="276" w:lineRule="auto"/>
        <w:ind w:left="340" w:hanging="340"/>
      </w:pPr>
      <w:r>
        <w:rPr>
          <w:color w:val="00A85A"/>
        </w:rPr>
        <w:t xml:space="preserve">▪  </w:t>
      </w:r>
      <w:r>
        <w:rPr>
          <w:rFonts w:ascii="Arial" w:hAnsi="Arial"/>
          <w:sz w:val="22"/>
        </w:rPr>
        <w:t>Bei gleichrangigen Adjektiven mit „und“-Sinn ja, bei einem festen Begriff nein: „ein warmer, sonniger Tag“, aber „die letzte große Reise“.</w:t>
      </w:r>
    </w:p>
    <w:p>
      <w:pPr>
        <w:spacing w:before="0" w:after="60" w:line="276" w:lineRule="auto"/>
        <w:ind w:left="340" w:hanging="340"/>
      </w:pPr>
      <w:r>
        <w:rPr>
          <w:color w:val="00A85A"/>
        </w:rPr>
        <w:t xml:space="preserve">▪  </w:t>
      </w:r>
      <w:r>
        <w:rPr>
          <w:rFonts w:ascii="Arial" w:hAnsi="Arial"/>
          <w:sz w:val="22"/>
        </w:rPr>
        <w:t>Vor „und“, „oder“, „sowie“, „beziehungsweise“ in Aufzählungen.</w:t>
      </w:r>
    </w:p>
    <w:p>
      <w:pPr>
        <w:spacing w:before="0" w:after="60" w:line="276" w:lineRule="auto"/>
        <w:ind w:left="340" w:hanging="340"/>
      </w:pPr>
      <w:r>
        <w:rPr>
          <w:color w:val="00A85A"/>
        </w:rPr>
        <w:t xml:space="preserve">▪  </w:t>
      </w:r>
      <w:r>
        <w:rPr>
          <w:rFonts w:ascii="Arial" w:hAnsi="Arial"/>
          <w:sz w:val="22"/>
        </w:rPr>
        <w:t>Nach einem Datum oder einer Adresse am Satzende: „Wir treffen uns am Montag, dem 3. Mai um neun.“ (zweites Komma nach Datum freigestellt).</w:t>
      </w:r>
    </w:p>
    <w:p>
      <w:pPr>
        <w:spacing w:before="280" w:after="120" w:line="276" w:lineRule="auto"/>
      </w:pPr>
      <w:r>
        <w:rPr>
          <w:rFonts w:ascii="Arial" w:hAnsi="Arial"/>
          <w:b/>
          <w:i w:val="0"/>
          <w:color w:val="111111"/>
          <w:sz w:val="24"/>
        </w:rPr>
        <w:t>Schnellprobe</w:t>
      </w:r>
    </w:p>
    <w:p>
      <w:pPr>
        <w:spacing w:before="0" w:after="120" w:line="276" w:lineRule="auto"/>
      </w:pPr>
      <w:r>
        <w:rPr>
          <w:rFonts w:ascii="Arial" w:hAnsi="Arial"/>
          <w:b w:val="0"/>
          <w:i w:val="0"/>
          <w:color w:val="111111"/>
          <w:sz w:val="22"/>
        </w:rPr>
        <w:t>Finde das Verb. Findest du ein zweites gebeugtes Verb, hast du einen zweiten Satz, und zwischen zwei Sätzen steht fast immer ein Komma. Findest du keins, ist das Komma meistens falsch.</w:t>
      </w:r>
    </w:p>
    <w:p>
      <w:pPr>
        <w:spacing w:before="0" w:after="80" w:line="276" w:lineRule="auto"/>
      </w:pPr>
      <w:r>
        <w:rPr>
          <w:rFonts w:ascii="Arial" w:hAnsi="Arial"/>
          <w:b w:val="0"/>
          <w:i w:val="0"/>
          <w:color w:val="555555"/>
          <w:sz w:val="18"/>
        </w:rPr>
        <w:t>Merkzettel von korrektur.de, frei nutzbar. Stand: September 2026.</w:t>
      </w:r>
    </w:p>
    <w:sectPr w:rsidR="00FC693F" w:rsidRPr="0006063C" w:rsidSect="00034616">
      <w:footerReference w:type="default" r:id="rId12"/>
      <w:pgSz w:w="11906" w:h="16838"/>
      <w:pgMar w:top="964" w:right="1134" w:bottom="850" w:left="1134"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Kommaregeln: Merkzettel mit den zehn Regeln, die fast alle Fälle lösen</dc:title>
  <dc:subject>Merkzettel zum Ausdrucken, eine Seite</dc:subject>
  <dc:creator>korrektur.de</dc:creator>
  <cp:keywords>Kommaregeln, Komma, Zeichensetzung, Merkzettel, Deutsch, Rechtschreibung</cp:keywords>
  <dc:description>Kostenlose Vorlage von korrektur.de. Aktuelle Fassung: https://korrektur.de/kommaregeln</dc:description>
  <cp:lastModifiedBy>korrektur.de</cp:lastModifiedBy>
  <cp:revision>1</cp:revision>
  <dcterms:created xsi:type="dcterms:W3CDTF">2013-12-23T23:15:00Z</dcterms:created>
  <dcterms:modified xsi:type="dcterms:W3CDTF">2013-12-23T23:15:00Z</dcterms:modified>
  <cp:category>Vorlage</cp:category>
</cp:coreProperties>
</file>