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0" w:after="440"/>
        <w:pBdr>
          <w:bottom w:val="single" w:sz="18" w:space="10" w:color="00A85A"/>
        </w:pBdr>
      </w:pPr>
      <w:r>
        <w:drawing>
          <wp:inline xmlns:a="http://schemas.openxmlformats.org/drawingml/2006/main" xmlns:pic="http://schemas.openxmlformats.org/drawingml/2006/picture">
            <wp:extent cx="1562100" cy="304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orrektur-wortmarke-vorlagen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30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80" w:after="180" w:line="276" w:lineRule="auto"/>
      </w:pPr>
      <w:r>
        <w:rPr>
          <w:rFonts w:ascii="Arial" w:hAnsi="Arial"/>
          <w:b/>
          <w:i w:val="0"/>
          <w:color w:val="006B46"/>
          <w:sz w:val="17"/>
        </w:rPr>
        <w:t>MERKZETTEL ZUM FREIEN GEBRAUCH</w:t>
      </w:r>
    </w:p>
    <w:p>
      <w:pPr>
        <w:spacing w:before="0" w:after="280" w:line="252" w:lineRule="auto"/>
      </w:pPr>
      <w:r>
        <w:rPr>
          <w:rFonts w:ascii="Arial" w:hAnsi="Arial"/>
          <w:b/>
          <w:i w:val="0"/>
          <w:color w:val="111111"/>
          <w:sz w:val="38"/>
        </w:rPr>
        <w:t>Interview und Fragebogen auf zwei Seiten</w:t>
      </w:r>
    </w:p>
    <w:p>
      <w:pPr>
        <w:spacing w:before="0" w:after="16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Auf den nächsten zwei Seiten stehen Checklisten für vor, während und nach dem Interview, eine Übersicht der Interviewformen, eine Fragebogen-Checkliste und ein Vergleich beider Methoden.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So nutzt du den Merkzettel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1.  </w:t>
      </w:r>
      <w:r>
        <w:rPr>
          <w:rFonts w:ascii="Arial" w:hAnsi="Arial"/>
          <w:sz w:val="22"/>
        </w:rPr>
        <w:t>Drucke nur die Seiten ab Seite 2. Diese Anleitungsseite brauchst du nicht an der Wand.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2.  </w:t>
      </w:r>
      <w:r>
        <w:rPr>
          <w:rFonts w:ascii="Arial" w:hAnsi="Arial"/>
          <w:sz w:val="22"/>
        </w:rPr>
        <w:t>Häng den Zettel dorthin, wo du schreibst, oder leg ihn vorn in die Mappe. Ein Merkzettel wirkt nur, wenn er im Blick ist.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3.  </w:t>
      </w:r>
      <w:r>
        <w:rPr>
          <w:rFonts w:ascii="Arial" w:hAnsi="Arial"/>
          <w:sz w:val="22"/>
        </w:rPr>
        <w:t>Lies beim Überarbeiten einmal nur nach diesem Zettel durch den Text. Eine Regel pro Durchgang findet mehr als alle auf einmal.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4.  </w:t>
      </w:r>
      <w:r>
        <w:rPr>
          <w:rFonts w:ascii="Arial" w:hAnsi="Arial"/>
          <w:sz w:val="22"/>
        </w:rPr>
        <w:t>Die Word-Datei darfst du kürzen und ergänzen: streich, was du sicher kannst, und trag deine eigenen Stolperstellen ein.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Wofür der Zettel gedacht ist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Die Vorbereitung einer eigenen Erhebung für die Abschlussarbeit, egal ob Interview oder Fragebogen.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Den letzten Check vor dem ersten Termin oder vor dem Versand eines Fragebogens.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Die Methodik-Passage der Arbeit, um Fachbegriffe wie Skalenniveau oder Ruecklauf korrekt zu verwenden.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Was uns in der Korrektur dazu am häufigsten begegnet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Suggestive Fragen, die die Antwort schon vorwegnehmen, statt offen zu fragen.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Doppelfragen im Fragebogen, bei denen unklar bleibt, worauf sich die Antwort bezieht.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Die Auswertungsmethode wird im Text nicht genannt oder mit der Erhebungsmethode verwechselt.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shd w:val="clear" w:color="auto" w:fill="F2F8F4"/>
            <w:tcBorders>
              <w:left w:val="single" w:sz="24" w:space="0" w:color="00A85A"/>
            </w:tcBorders>
          </w:tcPr>
          <w:p>
            <w:pPr>
              <w:spacing w:before="120" w:after="60"/>
            </w:pPr>
            <w:r>
              <w:rPr>
                <w:rFonts w:ascii="Arial" w:hAnsi="Arial"/>
                <w:b/>
                <w:color w:val="111111"/>
                <w:sz w:val="22"/>
              </w:rPr>
              <w:t>Wenn es darauf ankommt</w:t>
            </w:r>
          </w:p>
          <w:p>
            <w:pPr>
              <w:spacing w:after="120"/>
            </w:pPr>
            <w:r>
              <w:rPr>
                <w:rFonts w:ascii="Arial" w:hAnsi="Arial"/>
                <w:sz w:val="20"/>
              </w:rPr>
              <w:t xml:space="preserve">Eine unsauber geführte Erhebung lässt sich später nicht mehr reparieren, der Text darüber aber schon. Wir lesen Methodik, Ausdruck und Zitierweise gegen: </w:t>
            </w:r>
            <w:hyperlink r:id="rId11">
              <w:r>
                <w:rPr>
                  <w:rFonts w:ascii="Arial" w:hAnsi="Arial"/>
                  <w:color w:val="006B46"/>
                  <w:b/>
                  <w:u w:val="single"/>
                </w:rPr>
                <w:t>korrektur.de</w:t>
              </w:r>
            </w:hyperlink>
          </w:p>
        </w:tc>
      </w:tr>
    </w:tbl>
    <w:p>
      <w:pPr>
        <w:spacing w:before="40" w:after="80" w:line="276" w:lineRule="auto"/>
      </w:pPr>
      <w:r>
        <w:rPr>
          <w:rFonts w:ascii="Arial" w:hAnsi="Arial"/>
          <w:b w:val="0"/>
          <w:i w:val="0"/>
          <w:color w:val="555555"/>
          <w:sz w:val="18"/>
        </w:rPr>
        <w:t>Diesen Merkzettel darfst du frei nutzen, anpassen und weitergeben. Erstellt von korrektur.de. Stand: September 2026.</w:t>
      </w:r>
    </w:p>
    <w:p>
      <w:pPr>
        <w:sectPr>
          <w:footerReference w:type="default" r:id="rId9"/>
          <w:pgSz w:w="11906" w:h="16838"/>
          <w:pgMar w:top="1020" w:right="1134" w:bottom="1020" w:left="1134" w:header="720" w:footer="720" w:gutter="0"/>
          <w:cols w:space="720"/>
          <w:docGrid w:linePitch="360"/>
          <w:pgNumType w:fmt="decimal" w:start="1"/>
        </w:sectPr>
      </w:pPr>
    </w:p>
    <w:p>
      <w:pPr>
        <w:spacing w:before="80" w:after="180" w:line="276" w:lineRule="auto"/>
      </w:pPr>
      <w:r>
        <w:rPr>
          <w:rFonts w:ascii="Arial" w:hAnsi="Arial"/>
          <w:b/>
          <w:i w:val="0"/>
          <w:color w:val="006B46"/>
          <w:sz w:val="17"/>
        </w:rPr>
        <w:t>MERKZETTEL METHODIK</w:t>
      </w:r>
    </w:p>
    <w:p>
      <w:pPr>
        <w:spacing w:before="0" w:after="280" w:line="252" w:lineRule="auto"/>
      </w:pPr>
      <w:r>
        <w:rPr>
          <w:rFonts w:ascii="Arial" w:hAnsi="Arial"/>
          <w:b/>
          <w:i w:val="0"/>
          <w:color w:val="111111"/>
          <w:sz w:val="38"/>
        </w:rPr>
        <w:t>Interview und Fragebogen auf zwei Seiten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shd w:val="clear" w:color="auto" w:fill="F2F8F4"/>
            <w:tcBorders>
              <w:left w:val="single" w:sz="24" w:space="0" w:color="00A85A"/>
            </w:tcBorders>
          </w:tcPr>
          <w:p>
            <w:pPr>
              <w:spacing w:before="100" w:after="100"/>
            </w:pPr>
            <w:r>
              <w:rPr>
                <w:rFonts w:ascii="Arial" w:hAnsi="Arial"/>
                <w:b/>
                <w:color w:val="006B46"/>
                <w:sz w:val="22"/>
              </w:rPr>
              <w:t>Ein Interview liefert Tiefe bei wenigen Fällen, ein Fragebogen Breite bei vielen. Die Forschungsfrage entscheidet, welche Methode passt.</w:t>
            </w:r>
          </w:p>
        </w:tc>
      </w:tr>
    </w:tbl>
    <w:p>
      <w:pPr>
        <w:spacing w:before="0" w:after="140" w:line="20" w:lineRule="exact"/>
      </w:pP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Vor dem Interview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☐ Forschungsfrage klar formuliert, der Leitfaden leitet sich direkt daraus ab.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☐ Leitfaden mit offenen Hauptfragen und möglichen Nachfragen erstellt.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☐ Pretest mit einer Person außerhalb der Stichprobe durchgeführt.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☐ Einwilligung und Datenschutz geklärt, Aufnahme ausdrücklich zugesagt.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☐ Aufnahmegerät getestet, Akku und Speicherplatz geprüft.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☐ Termin, Ort und Zeitrahmen mit der befragten Person abgestimmt.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Während des Interviews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☐ Offene Fragen stellen, keine Ja-Nein-Fragen als Hauptfrage.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☐ Nicht suggestiv fragen: keine Antwort in der Frage schon vorwegnehmen.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☐ Bei unklaren Antworten gezielt nachfragen, statt zu vermuten.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☐ Pausen aushalten, statt sie sofort mit der nächsten Frage zu füllen.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☐ Den vereinbarten Zeitrahmen im Blick behalten.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Nach dem Interview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☐ Transkription nach einer festgelegten Regel, für alle Interviews gleich.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☐ Anonymisierung von Namen und eindeutigen Merkmalen durchgeführt.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☐ Auswertung nach einem benannten Verfahren, etwa nach Mayring oder Kuckartz.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☐ Aufnahmen und Transkripte sicher und fristgerecht aufbewahrt.</w:t>
      </w:r>
    </w:p>
    <w:p>
      <w:r>
        <w:br w:type="page"/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Interviewformen im Vergleich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</w:tblPr>
      <w:tblGrid>
        <w:gridCol w:w="2224"/>
        <w:gridCol w:w="3707"/>
        <w:gridCol w:w="3707"/>
      </w:tblGrid>
      <w:tr>
        <w:tc>
          <w:tcPr>
            <w:tcW w:type="dxa" w:w="2224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7"/>
              </w:rPr>
              <w:t>Form</w:t>
            </w:r>
          </w:p>
        </w:tc>
        <w:tc>
          <w:tcPr>
            <w:tcW w:type="dxa" w:w="3707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7"/>
              </w:rPr>
              <w:t>Merkmal</w:t>
            </w:r>
          </w:p>
        </w:tc>
        <w:tc>
          <w:tcPr>
            <w:tcW w:type="dxa" w:w="3707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7"/>
              </w:rPr>
              <w:t>Wann geeignet</w:t>
            </w:r>
          </w:p>
        </w:tc>
      </w:tr>
      <w:tr>
        <w:tc>
          <w:tcPr>
            <w:tcW w:type="dxa" w:w="222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7"/>
              </w:rPr>
              <w:t>Strukturiert</w:t>
            </w:r>
          </w:p>
        </w:tc>
        <w:tc>
          <w:tcPr>
            <w:tcW w:type="dxa" w:w="3707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fester Fragenkatalog, feste Reihenfolge</w:t>
            </w:r>
          </w:p>
        </w:tc>
        <w:tc>
          <w:tcPr>
            <w:tcW w:type="dxa" w:w="3707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gut vergleichbare Antworten, wenig Interviewererfahrung nötig</w:t>
            </w:r>
          </w:p>
        </w:tc>
      </w:tr>
      <w:tr>
        <w:tc>
          <w:tcPr>
            <w:tcW w:type="dxa" w:w="222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7"/>
              </w:rPr>
              <w:t>Halbstrukturiert (Leitfaden)</w:t>
            </w:r>
          </w:p>
        </w:tc>
        <w:tc>
          <w:tcPr>
            <w:tcW w:type="dxa" w:w="3707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Leitfaden mit offenen Fragen, Reihenfolge flexibel</w:t>
            </w:r>
          </w:p>
        </w:tc>
        <w:tc>
          <w:tcPr>
            <w:tcW w:type="dxa" w:w="3707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die meisten qualitativen Abschlussarbeiten</w:t>
            </w:r>
          </w:p>
        </w:tc>
      </w:tr>
      <w:tr>
        <w:tc>
          <w:tcPr>
            <w:tcW w:type="dxa" w:w="222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7"/>
              </w:rPr>
              <w:t>Unstrukturiert (narrativ)</w:t>
            </w:r>
          </w:p>
        </w:tc>
        <w:tc>
          <w:tcPr>
            <w:tcW w:type="dxa" w:w="3707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kaum Vorgaben, freies Erzählen</w:t>
            </w:r>
          </w:p>
        </w:tc>
        <w:tc>
          <w:tcPr>
            <w:tcW w:type="dxa" w:w="3707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explorative Fragestellungen ohne festen Rahmen</w:t>
            </w:r>
          </w:p>
        </w:tc>
      </w:tr>
      <w:tr>
        <w:tc>
          <w:tcPr>
            <w:tcW w:type="dxa" w:w="222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7"/>
              </w:rPr>
              <w:t>Experteninterview</w:t>
            </w:r>
          </w:p>
        </w:tc>
        <w:tc>
          <w:tcPr>
            <w:tcW w:type="dxa" w:w="3707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Befragte als Wissensträger zu einem Fachgebiet, nicht als Einzelfall</w:t>
            </w:r>
          </w:p>
        </w:tc>
        <w:tc>
          <w:tcPr>
            <w:tcW w:type="dxa" w:w="3707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Fach- oder Praxiswissen zu einem eng umrissenen Thema</w:t>
            </w:r>
          </w:p>
        </w:tc>
      </w:tr>
    </w:tbl>
    <w:p>
      <w:pPr>
        <w:spacing w:before="0" w:after="120" w:line="276" w:lineRule="auto"/>
      </w:pP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Fragebogen-Checkliste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☐ Skalenniveau je Frage festgelegt: nominal, ordinal oder metrisch.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☐ Likert-Skala einheitlich 5- oder 7-stufig, nicht gemischt.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☐ Keine Doppelfragen, die zwei Sachverhalte in einem Satz abfragen.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☐ Neutrale, nicht suggestive Formulierung jeder Frage.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☐ Pretest mit einer kleinen Gruppe vor dem Versand durchgeführt.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☐ Rücklauf und erreichte Stichprobengröße dokumentiert.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Interview gegen Fragebogen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</w:tblPr>
      <w:tblGrid>
        <w:gridCol w:w="2224"/>
        <w:gridCol w:w="3707"/>
        <w:gridCol w:w="3707"/>
      </w:tblGrid>
      <w:tr>
        <w:tc>
          <w:tcPr>
            <w:tcW w:type="dxa" w:w="2224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7"/>
              </w:rPr>
              <w:t>Merkmal</w:t>
            </w:r>
          </w:p>
        </w:tc>
        <w:tc>
          <w:tcPr>
            <w:tcW w:type="dxa" w:w="3707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7"/>
              </w:rPr>
              <w:t>Interview</w:t>
            </w:r>
          </w:p>
        </w:tc>
        <w:tc>
          <w:tcPr>
            <w:tcW w:type="dxa" w:w="3707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7"/>
              </w:rPr>
              <w:t>Fragebogen</w:t>
            </w:r>
          </w:p>
        </w:tc>
      </w:tr>
      <w:tr>
        <w:tc>
          <w:tcPr>
            <w:tcW w:type="dxa" w:w="222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7"/>
              </w:rPr>
              <w:t>Ziel</w:t>
            </w:r>
          </w:p>
        </w:tc>
        <w:tc>
          <w:tcPr>
            <w:tcW w:type="dxa" w:w="3707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Tiefe, Bedeutung und Begründung verstehen</w:t>
            </w:r>
          </w:p>
        </w:tc>
        <w:tc>
          <w:tcPr>
            <w:tcW w:type="dxa" w:w="3707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Breite, Häufigkeiten und Zusammenhänge messen</w:t>
            </w:r>
          </w:p>
        </w:tc>
      </w:tr>
      <w:tr>
        <w:tc>
          <w:tcPr>
            <w:tcW w:type="dxa" w:w="222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7"/>
              </w:rPr>
              <w:t>Stichprobe</w:t>
            </w:r>
          </w:p>
        </w:tc>
        <w:tc>
          <w:tcPr>
            <w:tcW w:type="dxa" w:w="3707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wenige Fälle, gezielt ausgewählt</w:t>
            </w:r>
          </w:p>
        </w:tc>
        <w:tc>
          <w:tcPr>
            <w:tcW w:type="dxa" w:w="3707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viele Fälle, oft zufällig oder breit gestreut</w:t>
            </w:r>
          </w:p>
        </w:tc>
      </w:tr>
      <w:tr>
        <w:tc>
          <w:tcPr>
            <w:tcW w:type="dxa" w:w="222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7"/>
              </w:rPr>
              <w:t>Aufwand</w:t>
            </w:r>
          </w:p>
        </w:tc>
        <w:tc>
          <w:tcPr>
            <w:tcW w:type="dxa" w:w="3707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hoch je Fall, Transkription zeitintensiv</w:t>
            </w:r>
          </w:p>
        </w:tc>
        <w:tc>
          <w:tcPr>
            <w:tcW w:type="dxa" w:w="3707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hoch bei der Erstellung, gering je Fall</w:t>
            </w:r>
          </w:p>
        </w:tc>
      </w:tr>
      <w:tr>
        <w:tc>
          <w:tcPr>
            <w:tcW w:type="dxa" w:w="222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7"/>
              </w:rPr>
              <w:t>Auswertung</w:t>
            </w:r>
          </w:p>
        </w:tc>
        <w:tc>
          <w:tcPr>
            <w:tcW w:type="dxa" w:w="3707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qualitative Inhaltsanalyse</w:t>
            </w:r>
          </w:p>
        </w:tc>
        <w:tc>
          <w:tcPr>
            <w:tcW w:type="dxa" w:w="3707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deskriptive und schließende Statistik</w:t>
            </w:r>
          </w:p>
        </w:tc>
      </w:tr>
      <w:tr>
        <w:tc>
          <w:tcPr>
            <w:tcW w:type="dxa" w:w="222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7"/>
              </w:rPr>
              <w:t>Typische Arbeit</w:t>
            </w:r>
          </w:p>
        </w:tc>
        <w:tc>
          <w:tcPr>
            <w:tcW w:type="dxa" w:w="3707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Fallstudie, explorative Forschung</w:t>
            </w:r>
          </w:p>
        </w:tc>
        <w:tc>
          <w:tcPr>
            <w:tcW w:type="dxa" w:w="3707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quantitative Umfrage mit großer Stichprobe</w:t>
            </w:r>
          </w:p>
        </w:tc>
      </w:tr>
    </w:tbl>
    <w:p>
      <w:pPr>
        <w:spacing w:before="0" w:after="120" w:line="276" w:lineRule="auto"/>
      </w:pP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Typische Fehler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Suggestive Fragen, die eine bestimmte Antwort nahelegen.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Doppelfragen im Fragebogen, bei denen die Antwort nicht eindeutig zuordenbar ist.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Die Auswertungsmethode fehlt im Methodikkapitel oder wird mit der Erhebungsmethode verwechselt.</w:t>
      </w:r>
    </w:p>
    <w:p>
      <w:pPr>
        <w:spacing w:before="0" w:after="80" w:line="276" w:lineRule="auto"/>
      </w:pPr>
      <w:r>
        <w:rPr>
          <w:rFonts w:ascii="Arial" w:hAnsi="Arial"/>
          <w:b w:val="0"/>
          <w:i w:val="0"/>
          <w:color w:val="555555"/>
          <w:sz w:val="18"/>
        </w:rPr>
        <w:t>Merkzettel von korrektur.de, frei nutzbar. Stand: September 2026.</w:t>
      </w:r>
    </w:p>
    <w:sectPr w:rsidR="00FC693F" w:rsidRPr="0006063C" w:rsidSect="00034616">
      <w:footerReference w:type="default" r:id="rId12"/>
      <w:pgSz w:w="11906" w:h="16838"/>
      <w:pgMar w:top="964" w:right="1134" w:bottom="850" w:left="1134" w:header="720" w:footer="720" w:gutter="0"/>
      <w:cols w:space="720"/>
      <w:docGrid w:linePitch="360"/>
      <w:pgNumType w:fmt="decimal" w:start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Arial" w:hAnsi="Arial" w:cs="Arial" w:eastAsia="Arial"/>
      <w:color w:val="111111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/>
      <w:outlineLvl w:val="0"/>
    </w:pPr>
    <w:rPr>
      <w:rFonts w:ascii="Arial" w:hAnsi="Arial" w:cs="Arial" w:eastAsia="Arial"/>
      <w:b/>
      <w:bCs/>
      <w:color w:val="111111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="Arial" w:hAnsi="Arial" w:cs="Arial" w:eastAsia="Arial"/>
      <w:b/>
      <w:bCs/>
      <w:color w:val="111111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00"/>
      <w:outlineLvl w:val="2"/>
    </w:pPr>
    <w:rPr>
      <w:rFonts w:ascii="Arial" w:hAnsi="Arial" w:cs="Arial" w:eastAsia="Arial"/>
      <w:b/>
      <w:bCs/>
      <w:color w:val="111111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korrektur.de" TargetMode="Externa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Interview und Fragebogen: Merkzettel mit Checklisten für die Erhebung</dc:title>
  <dc:subject>Merkzettel zum Ausdrucken, zwei Seiten</dc:subject>
  <dc:creator>korrektur.de</dc:creator>
  <cp:keywords>Interview führen, Fragebogen, Leitfaden, qualitative Forschung, Merkzettel, Abschlussarbeit</cp:keywords>
  <dc:description>Kostenlose Vorlage von korrektur.de. Aktuelle Fassung: https://korrektur.de/interview-fuehren-bachelorarbeit</dc:description>
  <cp:lastModifiedBy>korrektur.de</cp:lastModifiedBy>
  <cp:revision>1</cp:revision>
  <dcterms:created xsi:type="dcterms:W3CDTF">2013-12-23T23:15:00Z</dcterms:created>
  <dcterms:modified xsi:type="dcterms:W3CDTF">2013-12-23T23:15:00Z</dcterms:modified>
  <cp:category>Vorlage</cp:category>
</cp:coreProperties>
</file>