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440"/>
        <w:pBdr>
          <w:bottom w:val="single" w:sz="18" w:space="10" w:color="00A85A"/>
        </w:pBdr>
      </w:pPr>
      <w:r>
        <w:drawing>
          <wp:inline xmlns:a="http://schemas.openxmlformats.org/drawingml/2006/main" xmlns:pic="http://schemas.openxmlformats.org/drawingml/2006/picture">
            <wp:extent cx="1562100" cy="304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orrektur-wortmarke-vorlagen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30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80" w:after="180" w:line="276" w:lineRule="auto"/>
      </w:pPr>
      <w:r>
        <w:rPr>
          <w:rFonts w:ascii="Arial" w:hAnsi="Arial"/>
          <w:b/>
          <w:i w:val="0"/>
          <w:color w:val="006B46"/>
          <w:sz w:val="17"/>
        </w:rPr>
        <w:t>MERKZETTEL ZUM FREIEN GEBRAUCH</w:t>
      </w:r>
    </w:p>
    <w:p>
      <w:pPr>
        <w:spacing w:before="0" w:after="280" w:line="252" w:lineRule="auto"/>
      </w:pPr>
      <w:r>
        <w:rPr>
          <w:rFonts w:ascii="Arial" w:hAnsi="Arial"/>
          <w:b/>
          <w:i w:val="0"/>
          <w:color w:val="111111"/>
          <w:sz w:val="38"/>
        </w:rPr>
        <w:t>IEEE und Vancouver auf zwei Seiten</w:t>
      </w:r>
    </w:p>
    <w:p>
      <w:pPr>
        <w:spacing w:before="0" w:after="16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Auf den nächsten Seiten stehen die beiden numerischen Zitierweisen IEEE und Vancouver im Vergleich: Nummerierung im Text, Muster je Quellenart und die Unterschiede zwischen beiden.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So nutzt du den Merkzettel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1.  </w:t>
      </w:r>
      <w:r>
        <w:rPr>
          <w:rFonts w:ascii="Arial" w:hAnsi="Arial"/>
          <w:sz w:val="22"/>
        </w:rPr>
        <w:t>Drucke nur die Seiten ab Seite 2. Diese Anleitungsseite brauchst du nicht an der Wand.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2.  </w:t>
      </w:r>
      <w:r>
        <w:rPr>
          <w:rFonts w:ascii="Arial" w:hAnsi="Arial"/>
          <w:sz w:val="22"/>
        </w:rPr>
        <w:t>Häng den Zettel dorthin, wo du schreibst, oder leg ihn vorn in die Mappe. Ein Merkzettel wirkt nur, wenn er im Blick ist.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3.  </w:t>
      </w:r>
      <w:r>
        <w:rPr>
          <w:rFonts w:ascii="Arial" w:hAnsi="Arial"/>
          <w:sz w:val="22"/>
        </w:rPr>
        <w:t>Lies beim Überarbeiten einmal nur nach diesem Zettel durch den Text. Eine Regel pro Durchgang findet mehr als alle auf einmal.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4.  </w:t>
      </w:r>
      <w:r>
        <w:rPr>
          <w:rFonts w:ascii="Arial" w:hAnsi="Arial"/>
          <w:sz w:val="22"/>
        </w:rPr>
        <w:t>Die Word-Datei darfst du kürzen und ergänzen: streich, was du sicher kannst, und trag deine eigenen Stolperstellen ein.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Wofür der Zettel gedacht ist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Technik, Informatik und Ingenieurwesen, wo IEEE Standard ist, und Medizin sowie andere Lebenswissenschaften, wo Vancouver gilt.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Den Umgang mit Zahlenbereichen im Text, etwa wenn drei Quellen hintereinander belegt werden.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Die Kontrolle, ob Literaturverzeichnis und Nummern im Text wirklich in derselben Reihenfolge stehen.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Was uns in der Korrektur dazu am häufigsten begegnet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Nummern nach Alphabet statt nach erster Nennung im Text vergeben: bei IEEE und Vancouver zählt allein die Reihenfolge des Auftretens.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Bindestrich statt Halbgeviertstrich bei Zahlenbereichen gesetzt: „[3]-[5]“ statt „[3]–[5]“.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Beim Umsortieren von Quellen die Nummern im Text nicht nachgezogen: ein Zitat verweist plötzlich auf die falsche Quelle.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Autorenschreibung der beiden Stile vermischt, etwa Vancouver-Kürzel in einem IEEE-Verzeichnis.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20" w:after="60"/>
            </w:pPr>
            <w:r>
              <w:rPr>
                <w:rFonts w:ascii="Arial" w:hAnsi="Arial"/>
                <w:b/>
                <w:color w:val="111111"/>
                <w:sz w:val="22"/>
              </w:rPr>
              <w:t>Wenn es darauf ankommt</w:t>
            </w:r>
          </w:p>
          <w:p>
            <w:pPr>
              <w:spacing w:after="120"/>
            </w:pPr>
            <w:r>
              <w:rPr>
                <w:rFonts w:ascii="Arial" w:hAnsi="Arial"/>
                <w:sz w:val="20"/>
              </w:rPr>
              <w:t xml:space="preserve">Eine verrutschte Klammernummer verweist auf die falsche Quelle, und das fällt bei einer numerischen Zitierweise besonders auf. Wir gleichen Nummern, Text und Verzeichnis ab: </w:t>
            </w:r>
            <w:hyperlink r:id="rId11">
              <w:r>
                <w:rPr>
                  <w:rFonts w:ascii="Arial" w:hAnsi="Arial"/>
                  <w:color w:val="006B46"/>
                  <w:b/>
                  <w:u w:val="single"/>
                </w:rPr>
                <w:t>korrektur.de</w:t>
              </w:r>
            </w:hyperlink>
          </w:p>
        </w:tc>
      </w:tr>
    </w:tbl>
    <w:p>
      <w:pPr>
        <w:spacing w:before="4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Diesen Merkzettel darfst du frei nutzen, anpassen und weitergeben. Erstellt von korrektur.de. Stand: September 2026.</w:t>
      </w:r>
    </w:p>
    <w:p>
      <w:pPr>
        <w:sectPr>
          <w:footerReference w:type="default" r:id="rId9"/>
          <w:pgSz w:w="11906" w:h="16838"/>
          <w:pgMar w:top="1020" w:right="1134" w:bottom="1020" w:left="1134" w:header="720" w:footer="720" w:gutter="0"/>
          <w:cols w:space="720"/>
          <w:docGrid w:linePitch="360"/>
          <w:pgNumType w:fmt="decimal" w:start="1"/>
        </w:sectPr>
      </w:pPr>
    </w:p>
    <w:p>
      <w:pPr>
        <w:spacing w:before="80" w:after="180" w:line="276" w:lineRule="auto"/>
      </w:pPr>
      <w:r>
        <w:rPr>
          <w:rFonts w:ascii="Arial" w:hAnsi="Arial"/>
          <w:b/>
          <w:i w:val="0"/>
          <w:color w:val="006B46"/>
          <w:sz w:val="17"/>
        </w:rPr>
        <w:t>MERKZETTEL ZITIEREN</w:t>
      </w:r>
    </w:p>
    <w:p>
      <w:pPr>
        <w:spacing w:before="0" w:after="280" w:line="252" w:lineRule="auto"/>
      </w:pPr>
      <w:r>
        <w:rPr>
          <w:rFonts w:ascii="Arial" w:hAnsi="Arial"/>
          <w:b/>
          <w:i w:val="0"/>
          <w:color w:val="111111"/>
          <w:sz w:val="38"/>
        </w:rPr>
        <w:t>IEEE und Vancouver auf zwei Seiten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00" w:after="100"/>
            </w:pPr>
            <w:r>
              <w:rPr>
                <w:rFonts w:ascii="Arial" w:hAnsi="Arial"/>
                <w:b/>
                <w:color w:val="006B46"/>
                <w:sz w:val="22"/>
              </w:rPr>
              <w:t>Beide Stile sind numerisch: die erste Nennung einer Quelle vergibt ihre Nummer, danach bleibt sie fest, unabhängig vom Alphabet.</w:t>
            </w:r>
          </w:p>
        </w:tc>
      </w:tr>
    </w:tbl>
    <w:p>
      <w:pPr>
        <w:spacing w:before="0" w:after="140" w:line="20" w:lineRule="exact"/>
      </w:pP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Nummern im Text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</w:tblPr>
      <w:tblGrid>
        <w:gridCol w:w="2966"/>
        <w:gridCol w:w="6672"/>
      </w:tblGrid>
      <w:tr>
        <w:tc>
          <w:tcPr>
            <w:tcW w:type="dxa" w:w="2966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8"/>
              </w:rPr>
              <w:t>Fall</w:t>
            </w:r>
          </w:p>
        </w:tc>
        <w:tc>
          <w:tcPr>
            <w:tcW w:type="dxa" w:w="6672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8"/>
              </w:rPr>
              <w:t>Beispiel</w:t>
            </w:r>
          </w:p>
        </w:tc>
      </w:tr>
      <w:tr>
        <w:tc>
          <w:tcPr>
            <w:tcW w:type="dxa" w:w="2966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  <w:t>Einzelne Quelle</w:t>
            </w:r>
          </w:p>
        </w:tc>
        <w:tc>
          <w:tcPr>
            <w:tcW w:type="dxa" w:w="667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Die Fehlerquote sank deutlich [1].</w:t>
            </w:r>
          </w:p>
        </w:tc>
      </w:tr>
      <w:tr>
        <w:tc>
          <w:tcPr>
            <w:tcW w:type="dxa" w:w="2966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  <w:t>Zwei Quellen</w:t>
            </w:r>
          </w:p>
        </w:tc>
        <w:tc>
          <w:tcPr>
            <w:tcW w:type="dxa" w:w="667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Beide Studien zeigen denselben Effekt [2], [4].</w:t>
            </w:r>
          </w:p>
        </w:tc>
      </w:tr>
      <w:tr>
        <w:tc>
          <w:tcPr>
            <w:tcW w:type="dxa" w:w="2966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  <w:t>Zusammenhängender Bereich (drei und mehr)</w:t>
            </w:r>
          </w:p>
        </w:tc>
        <w:tc>
          <w:tcPr>
            <w:tcW w:type="dxa" w:w="667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Mehrere Arbeiten bestätigen den Befund [3]–[5].</w:t>
            </w:r>
          </w:p>
        </w:tc>
      </w:tr>
      <w:tr>
        <w:tc>
          <w:tcPr>
            <w:tcW w:type="dxa" w:w="2966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  <w:t>Dieselbe Quelle erneut</w:t>
            </w:r>
          </w:p>
        </w:tc>
        <w:tc>
          <w:tcPr>
            <w:tcW w:type="dxa" w:w="667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Wie bereits gezeigt [1] gilt dies auch hier.</w:t>
            </w:r>
          </w:p>
        </w:tc>
      </w:tr>
      <w:tr>
        <w:tc>
          <w:tcPr>
            <w:tcW w:type="dxa" w:w="2966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  <w:t>Literaturverzeichnis</w:t>
            </w:r>
          </w:p>
        </w:tc>
        <w:tc>
          <w:tcPr>
            <w:tcW w:type="dxa" w:w="667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Reihenfolge der Nummern, nicht alphabetisch.</w:t>
            </w:r>
          </w:p>
        </w:tc>
      </w:tr>
    </w:tbl>
    <w:p>
      <w:pPr>
        <w:spacing w:before="0" w:after="120" w:line="276" w:lineRule="auto"/>
      </w:pP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Muster je Quellenart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</w:tblPr>
      <w:tblGrid>
        <w:gridCol w:w="1928"/>
        <w:gridCol w:w="3855"/>
        <w:gridCol w:w="3855"/>
      </w:tblGrid>
      <w:tr>
        <w:tc>
          <w:tcPr>
            <w:tcW w:type="dxa" w:w="1928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6"/>
              </w:rPr>
              <w:t>Quellenart</w:t>
            </w:r>
          </w:p>
        </w:tc>
        <w:tc>
          <w:tcPr>
            <w:tcW w:type="dxa" w:w="3855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6"/>
              </w:rPr>
              <w:t>IEEE</w:t>
            </w:r>
          </w:p>
        </w:tc>
        <w:tc>
          <w:tcPr>
            <w:tcW w:type="dxa" w:w="3855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6"/>
              </w:rPr>
              <w:t>Vancouver</w:t>
            </w:r>
          </w:p>
        </w:tc>
      </w:tr>
      <w:tr>
        <w:tc>
          <w:tcPr>
            <w:tcW w:type="dxa" w:w="192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6"/>
              </w:rPr>
              <w:t>Buch</w:t>
            </w:r>
          </w:p>
        </w:tc>
        <w:tc>
          <w:tcPr>
            <w:tcW w:type="dxa" w:w="385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[1] A. Meinhardt, Statistik verstehen. Berlin, Deutschland: Springer, 2021.</w:t>
            </w:r>
          </w:p>
        </w:tc>
        <w:tc>
          <w:tcPr>
            <w:tcW w:type="dxa" w:w="385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1. Meinhardt A. Statistik verstehen. Berlin: Springer; 2021.</w:t>
            </w:r>
          </w:p>
        </w:tc>
      </w:tr>
      <w:tr>
        <w:tc>
          <w:tcPr>
            <w:tcW w:type="dxa" w:w="192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6"/>
              </w:rPr>
              <w:t>Zeitschriftenartikel</w:t>
            </w:r>
          </w:p>
        </w:tc>
        <w:tc>
          <w:tcPr>
            <w:tcW w:type="dxa" w:w="385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[2] T. Vogelsang and K. Herrmann, „Motivation im Studium,“ Z. Bildungsforsch., vol. 12, no. 3, pp. 210–229, 2020.</w:t>
            </w:r>
          </w:p>
        </w:tc>
        <w:tc>
          <w:tcPr>
            <w:tcW w:type="dxa" w:w="385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2. Vogelsang T, Herrmann K. Motivation im Studium. Z Bildungsforsch. 2020;12(3):210–229.</w:t>
            </w:r>
          </w:p>
        </w:tc>
      </w:tr>
      <w:tr>
        <w:tc>
          <w:tcPr>
            <w:tcW w:type="dxa" w:w="192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6"/>
              </w:rPr>
              <w:t>Konferenzbeitrag</w:t>
            </w:r>
          </w:p>
        </w:tc>
        <w:tc>
          <w:tcPr>
            <w:tcW w:type="dxa" w:w="385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[3] S. Brandt, „Lernstrategien im Vergleich,“ in Proc. Int. Conf. Didaktik, Berlin, Deutschland, 2019, pp. 55–62.</w:t>
            </w:r>
          </w:p>
        </w:tc>
        <w:tc>
          <w:tcPr>
            <w:tcW w:type="dxa" w:w="385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3. Brandt S. Lernstrategien im Vergleich. In: Proceedings of the International Conference on Didaktik; 2019 Sep 10–12; Berlin, Deutschland. p. 55–62.</w:t>
            </w:r>
          </w:p>
        </w:tc>
      </w:tr>
      <w:tr>
        <w:tc>
          <w:tcPr>
            <w:tcW w:type="dxa" w:w="192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6"/>
              </w:rPr>
              <w:t>Website</w:t>
            </w:r>
          </w:p>
        </w:tc>
        <w:tc>
          <w:tcPr>
            <w:tcW w:type="dxa" w:w="385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[4] L. Osei, „Wie Zitate wirklich funktionieren,“ korrektur.de, 2022. [Online]. Verfügbar: https://korrektur.de/ieee-zitierweise</w:t>
            </w:r>
          </w:p>
        </w:tc>
        <w:tc>
          <w:tcPr>
            <w:tcW w:type="dxa" w:w="385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4. Osei L. Wie Zitate wirklich funktionieren [Internet]. korrektur.de; 2022 [zitiert 2023 Mär 12]. Verfügbar: https://korrektur.de/ieee-zitierweise</w:t>
            </w:r>
          </w:p>
        </w:tc>
      </w:tr>
      <w:tr>
        <w:tc>
          <w:tcPr>
            <w:tcW w:type="dxa" w:w="192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6"/>
              </w:rPr>
              <w:t>Norm</w:t>
            </w:r>
          </w:p>
        </w:tc>
        <w:tc>
          <w:tcPr>
            <w:tcW w:type="dxa" w:w="385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[5] Deutsches Institut für Normung, Titel von Schriftwerken, DIN 1505-2, 1984.</w:t>
            </w:r>
          </w:p>
        </w:tc>
        <w:tc>
          <w:tcPr>
            <w:tcW w:type="dxa" w:w="385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5. Deutsches Institut für Normung. Titel von Schriftwerken. DIN 1505-2. 1984.</w:t>
            </w:r>
          </w:p>
        </w:tc>
      </w:tr>
    </w:tbl>
    <w:p>
      <w:pPr>
        <w:spacing w:before="0" w:after="120" w:line="276" w:lineRule="auto"/>
      </w:pPr>
    </w:p>
    <w:p>
      <w:r>
        <w:br w:type="page"/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Unterschiede auf einen Blick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</w:tblPr>
      <w:tblGrid>
        <w:gridCol w:w="2224"/>
        <w:gridCol w:w="4078"/>
        <w:gridCol w:w="3336"/>
      </w:tblGrid>
      <w:tr>
        <w:tc>
          <w:tcPr>
            <w:tcW w:type="dxa" w:w="2224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7"/>
              </w:rPr>
              <w:t>Merkmal</w:t>
            </w:r>
          </w:p>
        </w:tc>
        <w:tc>
          <w:tcPr>
            <w:tcW w:type="dxa" w:w="4078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7"/>
              </w:rPr>
              <w:t>IEEE</w:t>
            </w:r>
          </w:p>
        </w:tc>
        <w:tc>
          <w:tcPr>
            <w:tcW w:type="dxa" w:w="3336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7"/>
              </w:rPr>
              <w:t>Vancouver</w:t>
            </w:r>
          </w:p>
        </w:tc>
      </w:tr>
      <w:tr>
        <w:tc>
          <w:tcPr>
            <w:tcW w:type="dxa" w:w="222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Autorenschreibung</w:t>
            </w:r>
          </w:p>
        </w:tc>
        <w:tc>
          <w:tcPr>
            <w:tcW w:type="dxa" w:w="407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Initiale vor Nachname, „and“ vor dem letzten Autor</w:t>
            </w:r>
          </w:p>
        </w:tc>
        <w:tc>
          <w:tcPr>
            <w:tcW w:type="dxa" w:w="3336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Nachname, dann Initialen ohne Punkt, per Komma getrennt</w:t>
            </w:r>
          </w:p>
        </w:tc>
      </w:tr>
      <w:tr>
        <w:tc>
          <w:tcPr>
            <w:tcW w:type="dxa" w:w="222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Zeitschriftentitel</w:t>
            </w:r>
          </w:p>
        </w:tc>
        <w:tc>
          <w:tcPr>
            <w:tcW w:type="dxa" w:w="407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Gekürzt nach IEEE-eigener Abkürzungsliste, kursiv</w:t>
            </w:r>
          </w:p>
        </w:tc>
        <w:tc>
          <w:tcPr>
            <w:tcW w:type="dxa" w:w="3336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Gekürzt nach der NLM-Abkürzungsliste, nicht kursiv</w:t>
            </w:r>
          </w:p>
        </w:tc>
      </w:tr>
      <w:tr>
        <w:tc>
          <w:tcPr>
            <w:tcW w:type="dxa" w:w="222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Zeichensetzung um den Titel</w:t>
            </w:r>
          </w:p>
        </w:tc>
        <w:tc>
          <w:tcPr>
            <w:tcW w:type="dxa" w:w="407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Titel in Anführungszeichen, danach Komma</w:t>
            </w:r>
          </w:p>
        </w:tc>
        <w:tc>
          <w:tcPr>
            <w:tcW w:type="dxa" w:w="3336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Titel ohne Anführungszeichen, danach Punkt</w:t>
            </w:r>
          </w:p>
        </w:tc>
      </w:tr>
      <w:tr>
        <w:tc>
          <w:tcPr>
            <w:tcW w:type="dxa" w:w="222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Autoren-Grenze vor „et al.“</w:t>
            </w:r>
          </w:p>
        </w:tc>
        <w:tc>
          <w:tcPr>
            <w:tcW w:type="dxa" w:w="407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Meist alle Autoren genannt, „et al.“ selten nötig</w:t>
            </w:r>
          </w:p>
        </w:tc>
        <w:tc>
          <w:tcPr>
            <w:tcW w:type="dxa" w:w="3336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Ab sieben Autoren die ersten sechs, dann „et al.“</w:t>
            </w:r>
          </w:p>
        </w:tc>
      </w:tr>
      <w:tr>
        <w:tc>
          <w:tcPr>
            <w:tcW w:type="dxa" w:w="222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Buchtitel</w:t>
            </w:r>
          </w:p>
        </w:tc>
        <w:tc>
          <w:tcPr>
            <w:tcW w:type="dxa" w:w="407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Kursiv gesetzt, wie bei APA 7</w:t>
            </w:r>
          </w:p>
        </w:tc>
        <w:tc>
          <w:tcPr>
            <w:tcW w:type="dxa" w:w="3336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Nicht kursiv, ohne besondere Auszeichnung</w:t>
            </w:r>
          </w:p>
        </w:tc>
      </w:tr>
    </w:tbl>
    <w:p>
      <w:pPr>
        <w:spacing w:before="0" w:after="120" w:line="276" w:lineRule="auto"/>
      </w:pP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Weitere Regeltipps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Mehrere Werke derselben Person bekommen jeweils eine eigene Nummer, nie dieselbe Nummer mit einem Buchstaben wie bei APA.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Bei Vancouver endet die gekürzte Zeitschriftenabkürzung ohne Punkt, wenn sie mit dem letzten Buchstaben des vollen Wortes endet.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IEEE nennt bei Büchern Verlagsort und Land, Vancouver meist nur den Verlagsort.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Beide Stile zählen Seitenangaben ohne „S.“: IEEE mit „pp.“, Vancouver nur mit dem Doppelpunkt vor der Seitenzahl.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Typische Fehler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Nummern nach Alphabet statt nach erster Nennung vergeben.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Bindestrich statt Halbgeviertstrich bei Zahlenbereichen wie „[3]–[5]“ verwendet.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Nach dem Umsortieren einer Quelle die Nummer im Text nicht angepasst.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Autoren-et-al.-Grenze der beiden Stile vertauscht: Vancouver nennt bis zu sechs Autoren vor „et al.“, IEEE meist alle.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Zeitschriftentitel nach der falschen Abkürzungsliste gekürzt: IEEE-eigene Liste und NLM-Liste unterscheiden sich.</w:t>
      </w:r>
    </w:p>
    <w:p>
      <w:pPr>
        <w:spacing w:before="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Merkzettel von korrektur.de, frei nutzbar. Stand: September 2026.</w:t>
      </w:r>
    </w:p>
    <w:sectPr w:rsidR="00FC693F" w:rsidRPr="0006063C" w:rsidSect="00034616">
      <w:footerReference w:type="default" r:id="rId12"/>
      <w:pgSz w:w="11906" w:h="16838"/>
      <w:pgMar w:top="964" w:right="1134" w:bottom="850" w:left="1134" w:header="720" w:footer="720" w:gutter="0"/>
      <w:cols w:space="720"/>
      <w:docGrid w:linePitch="360"/>
      <w:pgNumType w:fmt="decimal"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Arial" w:hAnsi="Arial" w:cs="Arial" w:eastAsia="Arial"/>
      <w:color w:val="111111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/>
      <w:outlineLvl w:val="0"/>
    </w:pPr>
    <w:rPr>
      <w:rFonts w:ascii="Arial" w:hAnsi="Arial" w:cs="Arial" w:eastAsia="Arial"/>
      <w:b/>
      <w:bCs/>
      <w:color w:val="111111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="Arial" w:hAnsi="Arial" w:cs="Arial" w:eastAsia="Arial"/>
      <w:b/>
      <w:bCs/>
      <w:color w:val="111111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="Arial" w:hAnsi="Arial" w:cs="Arial" w:eastAsia="Arial"/>
      <w:b/>
      <w:bCs/>
      <w:color w:val="11111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korrektur.de" TargetMode="Externa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IEEE und Vancouver: Merkzettel mit den Zitierregeln für nummerierte Verweise</dc:title>
  <dc:subject>Merkzettel zum Ausdrucken, zwei Seiten</dc:subject>
  <dc:creator>korrektur.de</dc:creator>
  <cp:keywords>IEEE, Vancouver, Zitierweise, nummerierte Zitate, Merkzettel</cp:keywords>
  <dc:description>Kostenlose Vorlage von korrektur.de. Aktuelle Fassung: https://korrektur.de/ieee-zitierweise</dc:description>
  <cp:lastModifiedBy>korrektur.de</cp:lastModifiedBy>
  <cp:revision>1</cp:revision>
  <dcterms:created xsi:type="dcterms:W3CDTF">2013-12-23T23:15:00Z</dcterms:created>
  <dcterms:modified xsi:type="dcterms:W3CDTF">2013-12-23T23:15:00Z</dcterms:modified>
  <cp:category>Vorlage</cp:category>
</cp:coreProperties>
</file>