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Studienfinanzierung auf zwei Seiten</w:t>
      </w:r>
    </w:p>
    <w:p>
      <w:pPr>
        <w:spacing w:before="0" w:after="160" w:line="276" w:lineRule="auto"/>
      </w:pPr>
      <w:r>
        <w:rPr>
          <w:rFonts w:ascii="Arial" w:hAnsi="Arial"/>
          <w:b w:val="0"/>
          <w:i w:val="0"/>
          <w:color w:val="111111"/>
          <w:sz w:val="22"/>
        </w:rPr>
        <w:t>Auf den nächsten zwei Seiten stehen alle Wege der Studienfinanzierung im Überblick, die wichtigsten BAföG-Formblätter, der Ablauf vom Erstantrag bis zum Leistungsnachweis, dazu Fristen, Widerspruch und Rückzahlung.</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Die Vorbereitung des Erstantrags, wenn noch unklar ist, welche Wege überhaupt infrage kommen.</w:t>
      </w:r>
    </w:p>
    <w:p>
      <w:pPr>
        <w:spacing w:before="0" w:after="80" w:line="276" w:lineRule="auto"/>
        <w:ind w:left="340" w:hanging="340"/>
      </w:pPr>
      <w:r>
        <w:rPr>
          <w:color w:val="00A85A"/>
        </w:rPr>
        <w:t xml:space="preserve">▪  </w:t>
      </w:r>
      <w:r>
        <w:rPr>
          <w:rFonts w:ascii="Arial" w:hAnsi="Arial"/>
          <w:sz w:val="22"/>
        </w:rPr>
        <w:t>Den Folgeantrag und den Leistungsnachweis, damit keine Frist übersehen wird.</w:t>
      </w:r>
    </w:p>
    <w:p>
      <w:pPr>
        <w:spacing w:before="0" w:after="80" w:line="276" w:lineRule="auto"/>
        <w:ind w:left="340" w:hanging="340"/>
      </w:pPr>
      <w:r>
        <w:rPr>
          <w:color w:val="00A85A"/>
        </w:rPr>
        <w:t xml:space="preserve">▪  </w:t>
      </w:r>
      <w:r>
        <w:rPr>
          <w:rFonts w:ascii="Arial" w:hAnsi="Arial"/>
          <w:sz w:val="22"/>
        </w:rPr>
        <w:t>Alle, die einen Bescheid prüfen oder gegen ihn Widerspruch einlegen wollen.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Der Folgeantrag wird zu spät gestellt, dadurch entsteht eine Förderlücke.</w:t>
      </w:r>
    </w:p>
    <w:p>
      <w:pPr>
        <w:spacing w:before="0" w:after="80" w:line="276" w:lineRule="auto"/>
        <w:ind w:left="340" w:hanging="340"/>
      </w:pPr>
      <w:r>
        <w:rPr>
          <w:color w:val="00A85A"/>
        </w:rPr>
        <w:t xml:space="preserve">▪  </w:t>
      </w:r>
      <w:r>
        <w:rPr>
          <w:rFonts w:ascii="Arial" w:hAnsi="Arial"/>
          <w:sz w:val="22"/>
        </w:rPr>
        <w:t>Eine Änderung bei Einkommen, Vermögen oder Wohnsitz wird nicht gemeldet, obwohl eine Meldepflicht besteht.</w:t>
      </w:r>
    </w:p>
    <w:p>
      <w:pPr>
        <w:spacing w:before="0" w:after="80" w:line="276" w:lineRule="auto"/>
        <w:ind w:left="340" w:hanging="340"/>
      </w:pPr>
      <w:r>
        <w:rPr>
          <w:color w:val="00A85A"/>
        </w:rPr>
        <w:t xml:space="preserve">▪  </w:t>
      </w:r>
      <w:r>
        <w:rPr>
          <w:rFonts w:ascii="Arial" w:hAnsi="Arial"/>
          <w:sz w:val="22"/>
        </w:rPr>
        <w:t>Ein Bescheid wird als falsch empfunden, aber die Widerspruchsfrist wird versäumt.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verpasste Frist oder ein falsch ausgefülltes Formblatt kostet mehr Zeit als jeder Text. Wir prüfen Anträge, Nachweise und Bescheide so genau wie einen Text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STUDIUM &amp; GELD</w:t>
      </w:r>
    </w:p>
    <w:p>
      <w:pPr>
        <w:spacing w:before="0" w:after="280" w:line="252" w:lineRule="auto"/>
      </w:pPr>
      <w:r>
        <w:rPr>
          <w:rFonts w:ascii="Arial" w:hAnsi="Arial"/>
          <w:b/>
          <w:i w:val="0"/>
          <w:color w:val="111111"/>
          <w:sz w:val="38"/>
        </w:rPr>
        <w:t>Studienfinanzierung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Kombiniere BAföG, Stipendium, Job und Familienunterstützung, bevor du einen Kredit aufnimmst. Förderung ohne Rückzahlungspflicht geht vor Darlehen.</w:t>
            </w:r>
          </w:p>
        </w:tc>
      </w:tr>
    </w:tbl>
    <w:p>
      <w:pPr>
        <w:spacing w:before="0" w:after="140" w:line="20" w:lineRule="exact"/>
      </w:pPr>
    </w:p>
    <w:p>
      <w:pPr>
        <w:spacing w:before="280" w:after="120" w:line="276" w:lineRule="auto"/>
      </w:pPr>
      <w:r>
        <w:rPr>
          <w:rFonts w:ascii="Arial" w:hAnsi="Arial"/>
          <w:b/>
          <w:i w:val="0"/>
          <w:color w:val="111111"/>
          <w:sz w:val="24"/>
        </w:rPr>
        <w:t>Wege der Studienfinanzierung im Überblick</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224"/>
        <w:gridCol w:w="4448"/>
        <w:gridCol w:w="2966"/>
      </w:tblGrid>
      <w:tr>
        <w:tc>
          <w:tcPr>
            <w:tcW w:type="dxa" w:w="2224"/>
            <w:shd w:val="clear" w:color="auto" w:fill="F2F8F4"/>
            <w:tcMar>
              <w:left w:w="80" w:type="dxa"/>
              <w:right w:w="80" w:type="dxa"/>
            </w:tcMar>
          </w:tcPr>
          <w:p>
            <w:pPr>
              <w:spacing w:before="40" w:after="40" w:line="264" w:lineRule="auto"/>
            </w:pPr>
            <w:r>
              <w:rPr>
                <w:rFonts w:ascii="Arial" w:hAnsi="Arial"/>
                <w:b/>
                <w:color w:val="006B46"/>
                <w:sz w:val="16"/>
              </w:rPr>
              <w:t>Weg</w:t>
            </w:r>
          </w:p>
        </w:tc>
        <w:tc>
          <w:tcPr>
            <w:tcW w:type="dxa" w:w="4448"/>
            <w:shd w:val="clear" w:color="auto" w:fill="F2F8F4"/>
            <w:tcMar>
              <w:left w:w="80" w:type="dxa"/>
              <w:right w:w="80" w:type="dxa"/>
            </w:tcMar>
          </w:tcPr>
          <w:p>
            <w:pPr>
              <w:spacing w:before="40" w:after="40" w:line="264" w:lineRule="auto"/>
            </w:pPr>
            <w:r>
              <w:rPr>
                <w:rFonts w:ascii="Arial" w:hAnsi="Arial"/>
                <w:b/>
                <w:color w:val="006B46"/>
                <w:sz w:val="16"/>
              </w:rPr>
              <w:t>Kurz erklärt</w:t>
            </w:r>
          </w:p>
        </w:tc>
        <w:tc>
          <w:tcPr>
            <w:tcW w:type="dxa" w:w="2966"/>
            <w:shd w:val="clear" w:color="auto" w:fill="F2F8F4"/>
            <w:tcMar>
              <w:left w:w="80" w:type="dxa"/>
              <w:right w:w="80" w:type="dxa"/>
            </w:tcMar>
          </w:tcPr>
          <w:p>
            <w:pPr>
              <w:spacing w:before="40" w:after="40" w:line="264" w:lineRule="auto"/>
            </w:pPr>
            <w:r>
              <w:rPr>
                <w:rFonts w:ascii="Arial" w:hAnsi="Arial"/>
                <w:b/>
                <w:color w:val="006B46"/>
                <w:sz w:val="16"/>
              </w:rPr>
              <w:t>Rückzahlung</w:t>
            </w:r>
          </w:p>
        </w:tc>
      </w:tr>
      <w:tr>
        <w:tc>
          <w:tcPr>
            <w:tcW w:type="dxa" w:w="2224"/>
            <w:tcMar>
              <w:left w:w="80" w:type="dxa"/>
              <w:right w:w="80" w:type="dxa"/>
            </w:tcMar>
          </w:tcPr>
          <w:p>
            <w:pPr>
              <w:spacing w:before="40" w:after="40" w:line="264" w:lineRule="auto"/>
            </w:pPr>
            <w:r>
              <w:rPr>
                <w:rFonts w:ascii="Arial" w:hAnsi="Arial"/>
                <w:b/>
                <w:color w:val="111111"/>
                <w:sz w:val="16"/>
              </w:rPr>
              <w:t>BAföG</w:t>
            </w:r>
          </w:p>
        </w:tc>
        <w:tc>
          <w:tcPr>
            <w:tcW w:type="dxa" w:w="4448"/>
            <w:tcMar>
              <w:left w:w="80" w:type="dxa"/>
              <w:right w:w="80" w:type="dxa"/>
            </w:tcMar>
          </w:tcPr>
          <w:p>
            <w:pPr>
              <w:spacing w:before="40" w:after="40" w:line="264" w:lineRule="auto"/>
            </w:pPr>
            <w:r>
              <w:rPr>
                <w:rFonts w:ascii="Arial" w:hAnsi="Arial"/>
                <w:b w:val="0"/>
                <w:color w:val="111111"/>
                <w:sz w:val="16"/>
              </w:rPr>
              <w:t>staatliche Förderung, Antrag beim Amt für Ausbildungsförderung</w:t>
            </w:r>
          </w:p>
        </w:tc>
        <w:tc>
          <w:tcPr>
            <w:tcW w:type="dxa" w:w="2966"/>
            <w:tcMar>
              <w:left w:w="80" w:type="dxa"/>
              <w:right w:w="80" w:type="dxa"/>
            </w:tcMar>
          </w:tcPr>
          <w:p>
            <w:pPr>
              <w:spacing w:before="40" w:after="40" w:line="264" w:lineRule="auto"/>
            </w:pPr>
            <w:r>
              <w:rPr>
                <w:rFonts w:ascii="Arial" w:hAnsi="Arial"/>
                <w:b w:val="0"/>
                <w:color w:val="111111"/>
                <w:sz w:val="16"/>
              </w:rPr>
              <w:t>teils Zuschuss, teils zinsloses Darlehen</w:t>
            </w:r>
          </w:p>
        </w:tc>
      </w:tr>
      <w:tr>
        <w:tc>
          <w:tcPr>
            <w:tcW w:type="dxa" w:w="2224"/>
            <w:tcMar>
              <w:left w:w="80" w:type="dxa"/>
              <w:right w:w="80" w:type="dxa"/>
            </w:tcMar>
          </w:tcPr>
          <w:p>
            <w:pPr>
              <w:spacing w:before="40" w:after="40" w:line="264" w:lineRule="auto"/>
            </w:pPr>
            <w:r>
              <w:rPr>
                <w:rFonts w:ascii="Arial" w:hAnsi="Arial"/>
                <w:b/>
                <w:color w:val="111111"/>
                <w:sz w:val="16"/>
              </w:rPr>
              <w:t>Stipendium</w:t>
            </w:r>
          </w:p>
        </w:tc>
        <w:tc>
          <w:tcPr>
            <w:tcW w:type="dxa" w:w="4448"/>
            <w:tcMar>
              <w:left w:w="80" w:type="dxa"/>
              <w:right w:w="80" w:type="dxa"/>
            </w:tcMar>
          </w:tcPr>
          <w:p>
            <w:pPr>
              <w:spacing w:before="40" w:after="40" w:line="264" w:lineRule="auto"/>
            </w:pPr>
            <w:r>
              <w:rPr>
                <w:rFonts w:ascii="Arial" w:hAnsi="Arial"/>
                <w:b w:val="0"/>
                <w:color w:val="111111"/>
                <w:sz w:val="16"/>
              </w:rPr>
              <w:t>Förderung durch Stiftung, Unternehmen oder Begabtenförderungswerk</w:t>
            </w:r>
          </w:p>
        </w:tc>
        <w:tc>
          <w:tcPr>
            <w:tcW w:type="dxa" w:w="2966"/>
            <w:tcMar>
              <w:left w:w="80" w:type="dxa"/>
              <w:right w:w="80" w:type="dxa"/>
            </w:tcMar>
          </w:tcPr>
          <w:p>
            <w:pPr>
              <w:spacing w:before="40" w:after="40" w:line="264" w:lineRule="auto"/>
            </w:pPr>
            <w:r>
              <w:rPr>
                <w:rFonts w:ascii="Arial" w:hAnsi="Arial"/>
                <w:b w:val="0"/>
                <w:color w:val="111111"/>
                <w:sz w:val="16"/>
              </w:rPr>
              <w:t>in der Regel keine Rückzahlung</w:t>
            </w:r>
          </w:p>
        </w:tc>
      </w:tr>
      <w:tr>
        <w:tc>
          <w:tcPr>
            <w:tcW w:type="dxa" w:w="2224"/>
            <w:tcMar>
              <w:left w:w="80" w:type="dxa"/>
              <w:right w:w="80" w:type="dxa"/>
            </w:tcMar>
          </w:tcPr>
          <w:p>
            <w:pPr>
              <w:spacing w:before="40" w:after="40" w:line="264" w:lineRule="auto"/>
            </w:pPr>
            <w:r>
              <w:rPr>
                <w:rFonts w:ascii="Arial" w:hAnsi="Arial"/>
                <w:b/>
                <w:color w:val="111111"/>
                <w:sz w:val="16"/>
              </w:rPr>
              <w:t>Studienkredit</w:t>
            </w:r>
          </w:p>
        </w:tc>
        <w:tc>
          <w:tcPr>
            <w:tcW w:type="dxa" w:w="4448"/>
            <w:tcMar>
              <w:left w:w="80" w:type="dxa"/>
              <w:right w:w="80" w:type="dxa"/>
            </w:tcMar>
          </w:tcPr>
          <w:p>
            <w:pPr>
              <w:spacing w:before="40" w:after="40" w:line="264" w:lineRule="auto"/>
            </w:pPr>
            <w:r>
              <w:rPr>
                <w:rFonts w:ascii="Arial" w:hAnsi="Arial"/>
                <w:b w:val="0"/>
                <w:color w:val="111111"/>
                <w:sz w:val="16"/>
              </w:rPr>
              <w:t>Darlehen einer Bank oder Förderbank, monatliche Auszahlung</w:t>
            </w:r>
          </w:p>
        </w:tc>
        <w:tc>
          <w:tcPr>
            <w:tcW w:type="dxa" w:w="2966"/>
            <w:tcMar>
              <w:left w:w="80" w:type="dxa"/>
              <w:right w:w="80" w:type="dxa"/>
            </w:tcMar>
          </w:tcPr>
          <w:p>
            <w:pPr>
              <w:spacing w:before="40" w:after="40" w:line="264" w:lineRule="auto"/>
            </w:pPr>
            <w:r>
              <w:rPr>
                <w:rFonts w:ascii="Arial" w:hAnsi="Arial"/>
                <w:b w:val="0"/>
                <w:color w:val="111111"/>
                <w:sz w:val="16"/>
              </w:rPr>
              <w:t>mit Zinsen, nach dem Studium</w:t>
            </w:r>
          </w:p>
        </w:tc>
      </w:tr>
      <w:tr>
        <w:tc>
          <w:tcPr>
            <w:tcW w:type="dxa" w:w="2224"/>
            <w:tcMar>
              <w:left w:w="80" w:type="dxa"/>
              <w:right w:w="80" w:type="dxa"/>
            </w:tcMar>
          </w:tcPr>
          <w:p>
            <w:pPr>
              <w:spacing w:before="40" w:after="40" w:line="264" w:lineRule="auto"/>
            </w:pPr>
            <w:r>
              <w:rPr>
                <w:rFonts w:ascii="Arial" w:hAnsi="Arial"/>
                <w:b/>
                <w:color w:val="111111"/>
                <w:sz w:val="16"/>
              </w:rPr>
              <w:t>Bildungskredit</w:t>
            </w:r>
          </w:p>
        </w:tc>
        <w:tc>
          <w:tcPr>
            <w:tcW w:type="dxa" w:w="4448"/>
            <w:tcMar>
              <w:left w:w="80" w:type="dxa"/>
              <w:right w:w="80" w:type="dxa"/>
            </w:tcMar>
          </w:tcPr>
          <w:p>
            <w:pPr>
              <w:spacing w:before="40" w:after="40" w:line="264" w:lineRule="auto"/>
            </w:pPr>
            <w:r>
              <w:rPr>
                <w:rFonts w:ascii="Arial" w:hAnsi="Arial"/>
                <w:b w:val="0"/>
                <w:color w:val="111111"/>
                <w:sz w:val="16"/>
              </w:rPr>
              <w:t>ergänzendes Darlehen des Bundes für die Studienendphase</w:t>
            </w:r>
          </w:p>
        </w:tc>
        <w:tc>
          <w:tcPr>
            <w:tcW w:type="dxa" w:w="2966"/>
            <w:tcMar>
              <w:left w:w="80" w:type="dxa"/>
              <w:right w:w="80" w:type="dxa"/>
            </w:tcMar>
          </w:tcPr>
          <w:p>
            <w:pPr>
              <w:spacing w:before="40" w:after="40" w:line="264" w:lineRule="auto"/>
            </w:pPr>
            <w:r>
              <w:rPr>
                <w:rFonts w:ascii="Arial" w:hAnsi="Arial"/>
                <w:b w:val="0"/>
                <w:color w:val="111111"/>
                <w:sz w:val="16"/>
              </w:rPr>
              <w:t>mit Zinsen, nach dem Studium</w:t>
            </w:r>
          </w:p>
        </w:tc>
      </w:tr>
      <w:tr>
        <w:tc>
          <w:tcPr>
            <w:tcW w:type="dxa" w:w="2224"/>
            <w:tcMar>
              <w:left w:w="80" w:type="dxa"/>
              <w:right w:w="80" w:type="dxa"/>
            </w:tcMar>
          </w:tcPr>
          <w:p>
            <w:pPr>
              <w:spacing w:before="40" w:after="40" w:line="264" w:lineRule="auto"/>
            </w:pPr>
            <w:r>
              <w:rPr>
                <w:rFonts w:ascii="Arial" w:hAnsi="Arial"/>
                <w:b/>
                <w:color w:val="111111"/>
                <w:sz w:val="16"/>
              </w:rPr>
              <w:t>Wohngeld</w:t>
            </w:r>
          </w:p>
        </w:tc>
        <w:tc>
          <w:tcPr>
            <w:tcW w:type="dxa" w:w="4448"/>
            <w:tcMar>
              <w:left w:w="80" w:type="dxa"/>
              <w:right w:w="80" w:type="dxa"/>
            </w:tcMar>
          </w:tcPr>
          <w:p>
            <w:pPr>
              <w:spacing w:before="40" w:after="40" w:line="264" w:lineRule="auto"/>
            </w:pPr>
            <w:r>
              <w:rPr>
                <w:rFonts w:ascii="Arial" w:hAnsi="Arial"/>
                <w:b w:val="0"/>
                <w:color w:val="111111"/>
                <w:sz w:val="16"/>
              </w:rPr>
              <w:t>Zuschuss zur Miete, meist nur ohne BAföG-Anspruch</w:t>
            </w:r>
          </w:p>
        </w:tc>
        <w:tc>
          <w:tcPr>
            <w:tcW w:type="dxa" w:w="2966"/>
            <w:tcMar>
              <w:left w:w="80" w:type="dxa"/>
              <w:right w:w="80" w:type="dxa"/>
            </w:tcMar>
          </w:tcPr>
          <w:p>
            <w:pPr>
              <w:spacing w:before="40" w:after="40" w:line="264" w:lineRule="auto"/>
            </w:pPr>
            <w:r>
              <w:rPr>
                <w:rFonts w:ascii="Arial" w:hAnsi="Arial"/>
                <w:b w:val="0"/>
                <w:color w:val="111111"/>
                <w:sz w:val="16"/>
              </w:rPr>
              <w:t>keine Rückzahlung</w:t>
            </w:r>
          </w:p>
        </w:tc>
      </w:tr>
      <w:tr>
        <w:tc>
          <w:tcPr>
            <w:tcW w:type="dxa" w:w="2224"/>
            <w:tcMar>
              <w:left w:w="80" w:type="dxa"/>
              <w:right w:w="80" w:type="dxa"/>
            </w:tcMar>
          </w:tcPr>
          <w:p>
            <w:pPr>
              <w:spacing w:before="40" w:after="40" w:line="264" w:lineRule="auto"/>
            </w:pPr>
            <w:r>
              <w:rPr>
                <w:rFonts w:ascii="Arial" w:hAnsi="Arial"/>
                <w:b/>
                <w:color w:val="111111"/>
                <w:sz w:val="16"/>
              </w:rPr>
              <w:t>Kindergeld</w:t>
            </w:r>
          </w:p>
        </w:tc>
        <w:tc>
          <w:tcPr>
            <w:tcW w:type="dxa" w:w="4448"/>
            <w:tcMar>
              <w:left w:w="80" w:type="dxa"/>
              <w:right w:w="80" w:type="dxa"/>
            </w:tcMar>
          </w:tcPr>
          <w:p>
            <w:pPr>
              <w:spacing w:before="40" w:after="40" w:line="264" w:lineRule="auto"/>
            </w:pPr>
            <w:r>
              <w:rPr>
                <w:rFonts w:ascii="Arial" w:hAnsi="Arial"/>
                <w:b w:val="0"/>
                <w:color w:val="111111"/>
                <w:sz w:val="16"/>
              </w:rPr>
              <w:t>Familienleistung, läuft während der Ausbildung weiter</w:t>
            </w:r>
          </w:p>
        </w:tc>
        <w:tc>
          <w:tcPr>
            <w:tcW w:type="dxa" w:w="2966"/>
            <w:tcMar>
              <w:left w:w="80" w:type="dxa"/>
              <w:right w:w="80" w:type="dxa"/>
            </w:tcMar>
          </w:tcPr>
          <w:p>
            <w:pPr>
              <w:spacing w:before="40" w:after="40" w:line="264" w:lineRule="auto"/>
            </w:pPr>
            <w:r>
              <w:rPr>
                <w:rFonts w:ascii="Arial" w:hAnsi="Arial"/>
                <w:b w:val="0"/>
                <w:color w:val="111111"/>
                <w:sz w:val="16"/>
              </w:rPr>
              <w:t>keine Rückzahlung</w:t>
            </w:r>
          </w:p>
        </w:tc>
      </w:tr>
      <w:tr>
        <w:tc>
          <w:tcPr>
            <w:tcW w:type="dxa" w:w="2224"/>
            <w:tcMar>
              <w:left w:w="80" w:type="dxa"/>
              <w:right w:w="80" w:type="dxa"/>
            </w:tcMar>
          </w:tcPr>
          <w:p>
            <w:pPr>
              <w:spacing w:before="40" w:after="40" w:line="264" w:lineRule="auto"/>
            </w:pPr>
            <w:r>
              <w:rPr>
                <w:rFonts w:ascii="Arial" w:hAnsi="Arial"/>
                <w:b/>
                <w:color w:val="111111"/>
                <w:sz w:val="16"/>
              </w:rPr>
              <w:t>Unterhalt</w:t>
            </w:r>
          </w:p>
        </w:tc>
        <w:tc>
          <w:tcPr>
            <w:tcW w:type="dxa" w:w="4448"/>
            <w:tcMar>
              <w:left w:w="80" w:type="dxa"/>
              <w:right w:w="80" w:type="dxa"/>
            </w:tcMar>
          </w:tcPr>
          <w:p>
            <w:pPr>
              <w:spacing w:before="40" w:after="40" w:line="264" w:lineRule="auto"/>
            </w:pPr>
            <w:r>
              <w:rPr>
                <w:rFonts w:ascii="Arial" w:hAnsi="Arial"/>
                <w:b w:val="0"/>
                <w:color w:val="111111"/>
                <w:sz w:val="16"/>
              </w:rPr>
              <w:t>Anspruch gegen die Eltern, richtet sich nach deren Einkommen</w:t>
            </w:r>
          </w:p>
        </w:tc>
        <w:tc>
          <w:tcPr>
            <w:tcW w:type="dxa" w:w="2966"/>
            <w:tcMar>
              <w:left w:w="80" w:type="dxa"/>
              <w:right w:w="80" w:type="dxa"/>
            </w:tcMar>
          </w:tcPr>
          <w:p>
            <w:pPr>
              <w:spacing w:before="40" w:after="40" w:line="264" w:lineRule="auto"/>
            </w:pPr>
            <w:r>
              <w:rPr>
                <w:rFonts w:ascii="Arial" w:hAnsi="Arial"/>
                <w:b w:val="0"/>
                <w:color w:val="111111"/>
                <w:sz w:val="16"/>
              </w:rPr>
              <w:t>keine Rückzahlung</w:t>
            </w:r>
          </w:p>
        </w:tc>
      </w:tr>
      <w:tr>
        <w:tc>
          <w:tcPr>
            <w:tcW w:type="dxa" w:w="2224"/>
            <w:tcMar>
              <w:left w:w="80" w:type="dxa"/>
              <w:right w:w="80" w:type="dxa"/>
            </w:tcMar>
          </w:tcPr>
          <w:p>
            <w:pPr>
              <w:spacing w:before="40" w:after="40" w:line="264" w:lineRule="auto"/>
            </w:pPr>
            <w:r>
              <w:rPr>
                <w:rFonts w:ascii="Arial" w:hAnsi="Arial"/>
                <w:b/>
                <w:color w:val="111111"/>
                <w:sz w:val="16"/>
              </w:rPr>
              <w:t>Werkstudentenjob</w:t>
            </w:r>
          </w:p>
        </w:tc>
        <w:tc>
          <w:tcPr>
            <w:tcW w:type="dxa" w:w="4448"/>
            <w:tcMar>
              <w:left w:w="80" w:type="dxa"/>
              <w:right w:w="80" w:type="dxa"/>
            </w:tcMar>
          </w:tcPr>
          <w:p>
            <w:pPr>
              <w:spacing w:before="40" w:after="40" w:line="264" w:lineRule="auto"/>
            </w:pPr>
            <w:r>
              <w:rPr>
                <w:rFonts w:ascii="Arial" w:hAnsi="Arial"/>
                <w:b w:val="0"/>
                <w:color w:val="111111"/>
                <w:sz w:val="16"/>
              </w:rPr>
              <w:t>eigenes Einkommen neben dem Studium</w:t>
            </w:r>
          </w:p>
        </w:tc>
        <w:tc>
          <w:tcPr>
            <w:tcW w:type="dxa" w:w="2966"/>
            <w:tcMar>
              <w:left w:w="80" w:type="dxa"/>
              <w:right w:w="80" w:type="dxa"/>
            </w:tcMar>
          </w:tcPr>
          <w:p>
            <w:pPr>
              <w:spacing w:before="40" w:after="40" w:line="264" w:lineRule="auto"/>
            </w:pPr>
            <w:r>
              <w:rPr>
                <w:rFonts w:ascii="Arial" w:hAnsi="Arial"/>
                <w:b w:val="0"/>
                <w:color w:val="111111"/>
                <w:sz w:val="16"/>
              </w:rPr>
              <w:t>keine Rückzahlung</w:t>
            </w:r>
          </w:p>
        </w:tc>
      </w:tr>
      <w:tr>
        <w:tc>
          <w:tcPr>
            <w:tcW w:type="dxa" w:w="2224"/>
            <w:tcMar>
              <w:left w:w="80" w:type="dxa"/>
              <w:right w:w="80" w:type="dxa"/>
            </w:tcMar>
          </w:tcPr>
          <w:p>
            <w:pPr>
              <w:spacing w:before="40" w:after="40" w:line="264" w:lineRule="auto"/>
            </w:pPr>
            <w:r>
              <w:rPr>
                <w:rFonts w:ascii="Arial" w:hAnsi="Arial"/>
                <w:b/>
                <w:color w:val="111111"/>
                <w:sz w:val="16"/>
              </w:rPr>
              <w:t>Bildungsfonds</w:t>
            </w:r>
          </w:p>
        </w:tc>
        <w:tc>
          <w:tcPr>
            <w:tcW w:type="dxa" w:w="4448"/>
            <w:tcMar>
              <w:left w:w="80" w:type="dxa"/>
              <w:right w:w="80" w:type="dxa"/>
            </w:tcMar>
          </w:tcPr>
          <w:p>
            <w:pPr>
              <w:spacing w:before="40" w:after="40" w:line="264" w:lineRule="auto"/>
            </w:pPr>
            <w:r>
              <w:rPr>
                <w:rFonts w:ascii="Arial" w:hAnsi="Arial"/>
                <w:b w:val="0"/>
                <w:color w:val="111111"/>
                <w:sz w:val="16"/>
              </w:rPr>
              <w:t>privater Fonds, Förderung gegen spätere Beteiligung am Einkommen</w:t>
            </w:r>
          </w:p>
        </w:tc>
        <w:tc>
          <w:tcPr>
            <w:tcW w:type="dxa" w:w="2966"/>
            <w:tcMar>
              <w:left w:w="80" w:type="dxa"/>
              <w:right w:w="80" w:type="dxa"/>
            </w:tcMar>
          </w:tcPr>
          <w:p>
            <w:pPr>
              <w:spacing w:before="40" w:after="40" w:line="264" w:lineRule="auto"/>
            </w:pPr>
            <w:r>
              <w:rPr>
                <w:rFonts w:ascii="Arial" w:hAnsi="Arial"/>
                <w:b w:val="0"/>
                <w:color w:val="111111"/>
                <w:sz w:val="16"/>
              </w:rPr>
              <w:t>je nach Vertrag, meist einkommensabhängig</w:t>
            </w:r>
          </w:p>
        </w:tc>
      </w:tr>
      <w:tr>
        <w:tc>
          <w:tcPr>
            <w:tcW w:type="dxa" w:w="2224"/>
            <w:tcMar>
              <w:left w:w="80" w:type="dxa"/>
              <w:right w:w="80" w:type="dxa"/>
            </w:tcMar>
          </w:tcPr>
          <w:p>
            <w:pPr>
              <w:spacing w:before="40" w:after="40" w:line="264" w:lineRule="auto"/>
            </w:pPr>
            <w:r>
              <w:rPr>
                <w:rFonts w:ascii="Arial" w:hAnsi="Arial"/>
                <w:b/>
                <w:color w:val="111111"/>
                <w:sz w:val="16"/>
              </w:rPr>
              <w:t>Stiftungsdarlehen</w:t>
            </w:r>
          </w:p>
        </w:tc>
        <w:tc>
          <w:tcPr>
            <w:tcW w:type="dxa" w:w="4448"/>
            <w:tcMar>
              <w:left w:w="80" w:type="dxa"/>
              <w:right w:w="80" w:type="dxa"/>
            </w:tcMar>
          </w:tcPr>
          <w:p>
            <w:pPr>
              <w:spacing w:before="40" w:after="40" w:line="264" w:lineRule="auto"/>
            </w:pPr>
            <w:r>
              <w:rPr>
                <w:rFonts w:ascii="Arial" w:hAnsi="Arial"/>
                <w:b w:val="0"/>
                <w:color w:val="111111"/>
                <w:sz w:val="16"/>
              </w:rPr>
              <w:t>zinsgünstiges Darlehen einzelner Stiftungen</w:t>
            </w:r>
          </w:p>
        </w:tc>
        <w:tc>
          <w:tcPr>
            <w:tcW w:type="dxa" w:w="2966"/>
            <w:tcMar>
              <w:left w:w="80" w:type="dxa"/>
              <w:right w:w="80" w:type="dxa"/>
            </w:tcMar>
          </w:tcPr>
          <w:p>
            <w:pPr>
              <w:spacing w:before="40" w:after="40" w:line="264" w:lineRule="auto"/>
            </w:pPr>
            <w:r>
              <w:rPr>
                <w:rFonts w:ascii="Arial" w:hAnsi="Arial"/>
                <w:b w:val="0"/>
                <w:color w:val="111111"/>
                <w:sz w:val="16"/>
              </w:rPr>
              <w:t>mit Rückzahlung, oft zinsgünstig</w:t>
            </w:r>
          </w:p>
        </w:tc>
      </w:tr>
    </w:tbl>
    <w:p>
      <w:pPr>
        <w:spacing w:before="0" w:after="120" w:line="276" w:lineRule="auto"/>
      </w:pPr>
    </w:p>
    <w:p>
      <w:pPr>
        <w:spacing w:before="280" w:after="120" w:line="276" w:lineRule="auto"/>
      </w:pPr>
      <w:r>
        <w:rPr>
          <w:rFonts w:ascii="Arial" w:hAnsi="Arial"/>
          <w:b/>
          <w:i w:val="0"/>
          <w:color w:val="111111"/>
          <w:sz w:val="24"/>
        </w:rPr>
        <w:t>BAföG-Formblätter: wofür sie da sind</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336"/>
        <w:gridCol w:w="6302"/>
      </w:tblGrid>
      <w:tr>
        <w:tc>
          <w:tcPr>
            <w:tcW w:type="dxa" w:w="3336"/>
            <w:shd w:val="clear" w:color="auto" w:fill="F2F8F4"/>
            <w:tcMar>
              <w:left w:w="80" w:type="dxa"/>
              <w:right w:w="80" w:type="dxa"/>
            </w:tcMar>
          </w:tcPr>
          <w:p>
            <w:pPr>
              <w:spacing w:before="40" w:after="40" w:line="264" w:lineRule="auto"/>
            </w:pPr>
            <w:r>
              <w:rPr>
                <w:rFonts w:ascii="Arial" w:hAnsi="Arial"/>
                <w:b/>
                <w:color w:val="006B46"/>
                <w:sz w:val="16"/>
              </w:rPr>
              <w:t>Formblatt</w:t>
            </w:r>
          </w:p>
        </w:tc>
        <w:tc>
          <w:tcPr>
            <w:tcW w:type="dxa" w:w="6302"/>
            <w:shd w:val="clear" w:color="auto" w:fill="F2F8F4"/>
            <w:tcMar>
              <w:left w:w="80" w:type="dxa"/>
              <w:right w:w="80" w:type="dxa"/>
            </w:tcMar>
          </w:tcPr>
          <w:p>
            <w:pPr>
              <w:spacing w:before="40" w:after="40" w:line="264" w:lineRule="auto"/>
            </w:pPr>
            <w:r>
              <w:rPr>
                <w:rFonts w:ascii="Arial" w:hAnsi="Arial"/>
                <w:b/>
                <w:color w:val="006B46"/>
                <w:sz w:val="16"/>
              </w:rPr>
              <w:t>Wofür es da ist</w:t>
            </w:r>
          </w:p>
        </w:tc>
      </w:tr>
      <w:tr>
        <w:tc>
          <w:tcPr>
            <w:tcW w:type="dxa" w:w="3336"/>
            <w:tcMar>
              <w:left w:w="80" w:type="dxa"/>
              <w:right w:w="80" w:type="dxa"/>
            </w:tcMar>
          </w:tcPr>
          <w:p>
            <w:pPr>
              <w:spacing w:before="40" w:after="40" w:line="264" w:lineRule="auto"/>
            </w:pPr>
            <w:r>
              <w:rPr>
                <w:rFonts w:ascii="Arial" w:hAnsi="Arial"/>
                <w:b/>
                <w:color w:val="111111"/>
                <w:sz w:val="16"/>
              </w:rPr>
              <w:t>Hauptantrag</w:t>
            </w:r>
          </w:p>
        </w:tc>
        <w:tc>
          <w:tcPr>
            <w:tcW w:type="dxa" w:w="6302"/>
            <w:tcMar>
              <w:left w:w="80" w:type="dxa"/>
              <w:right w:w="80" w:type="dxa"/>
            </w:tcMar>
          </w:tcPr>
          <w:p>
            <w:pPr>
              <w:spacing w:before="40" w:after="40" w:line="264" w:lineRule="auto"/>
            </w:pPr>
            <w:r>
              <w:rPr>
                <w:rFonts w:ascii="Arial" w:hAnsi="Arial"/>
                <w:b w:val="0"/>
                <w:color w:val="111111"/>
                <w:sz w:val="16"/>
              </w:rPr>
              <w:t>Grunddaten zur Person, Ausbildung und Wohnsituation</w:t>
            </w:r>
          </w:p>
        </w:tc>
      </w:tr>
      <w:tr>
        <w:tc>
          <w:tcPr>
            <w:tcW w:type="dxa" w:w="3336"/>
            <w:tcMar>
              <w:left w:w="80" w:type="dxa"/>
              <w:right w:w="80" w:type="dxa"/>
            </w:tcMar>
          </w:tcPr>
          <w:p>
            <w:pPr>
              <w:spacing w:before="40" w:after="40" w:line="264" w:lineRule="auto"/>
            </w:pPr>
            <w:r>
              <w:rPr>
                <w:rFonts w:ascii="Arial" w:hAnsi="Arial"/>
                <w:b/>
                <w:color w:val="111111"/>
                <w:sz w:val="16"/>
              </w:rPr>
              <w:t>Angaben der Ausbildungsstätte</w:t>
            </w:r>
          </w:p>
        </w:tc>
        <w:tc>
          <w:tcPr>
            <w:tcW w:type="dxa" w:w="6302"/>
            <w:tcMar>
              <w:left w:w="80" w:type="dxa"/>
              <w:right w:w="80" w:type="dxa"/>
            </w:tcMar>
          </w:tcPr>
          <w:p>
            <w:pPr>
              <w:spacing w:before="40" w:after="40" w:line="264" w:lineRule="auto"/>
            </w:pPr>
            <w:r>
              <w:rPr>
                <w:rFonts w:ascii="Arial" w:hAnsi="Arial"/>
                <w:b w:val="0"/>
                <w:color w:val="111111"/>
                <w:sz w:val="16"/>
              </w:rPr>
              <w:t>bestätigt Studiengang und Fachsemester</w:t>
            </w:r>
          </w:p>
        </w:tc>
      </w:tr>
      <w:tr>
        <w:tc>
          <w:tcPr>
            <w:tcW w:type="dxa" w:w="3336"/>
            <w:tcMar>
              <w:left w:w="80" w:type="dxa"/>
              <w:right w:w="80" w:type="dxa"/>
            </w:tcMar>
          </w:tcPr>
          <w:p>
            <w:pPr>
              <w:spacing w:before="40" w:after="40" w:line="264" w:lineRule="auto"/>
            </w:pPr>
            <w:r>
              <w:rPr>
                <w:rFonts w:ascii="Arial" w:hAnsi="Arial"/>
                <w:b/>
                <w:color w:val="111111"/>
                <w:sz w:val="16"/>
              </w:rPr>
              <w:t>Einkommenserklärung der Eltern</w:t>
            </w:r>
          </w:p>
        </w:tc>
        <w:tc>
          <w:tcPr>
            <w:tcW w:type="dxa" w:w="6302"/>
            <w:tcMar>
              <w:left w:w="80" w:type="dxa"/>
              <w:right w:w="80" w:type="dxa"/>
            </w:tcMar>
          </w:tcPr>
          <w:p>
            <w:pPr>
              <w:spacing w:before="40" w:after="40" w:line="264" w:lineRule="auto"/>
            </w:pPr>
            <w:r>
              <w:rPr>
                <w:rFonts w:ascii="Arial" w:hAnsi="Arial"/>
                <w:b w:val="0"/>
                <w:color w:val="111111"/>
                <w:sz w:val="16"/>
              </w:rPr>
              <w:t>Grundlage für die Berechnung des Förderbetrags</w:t>
            </w:r>
          </w:p>
        </w:tc>
      </w:tr>
      <w:tr>
        <w:tc>
          <w:tcPr>
            <w:tcW w:type="dxa" w:w="3336"/>
            <w:tcMar>
              <w:left w:w="80" w:type="dxa"/>
              <w:right w:w="80" w:type="dxa"/>
            </w:tcMar>
          </w:tcPr>
          <w:p>
            <w:pPr>
              <w:spacing w:before="40" w:after="40" w:line="264" w:lineRule="auto"/>
            </w:pPr>
            <w:r>
              <w:rPr>
                <w:rFonts w:ascii="Arial" w:hAnsi="Arial"/>
                <w:b/>
                <w:color w:val="111111"/>
                <w:sz w:val="16"/>
              </w:rPr>
              <w:t>Einkommenserklärung des Ehepartners oder der Ehepartnerin</w:t>
            </w:r>
          </w:p>
        </w:tc>
        <w:tc>
          <w:tcPr>
            <w:tcW w:type="dxa" w:w="6302"/>
            <w:tcMar>
              <w:left w:w="80" w:type="dxa"/>
              <w:right w:w="80" w:type="dxa"/>
            </w:tcMar>
          </w:tcPr>
          <w:p>
            <w:pPr>
              <w:spacing w:before="40" w:after="40" w:line="264" w:lineRule="auto"/>
            </w:pPr>
            <w:r>
              <w:rPr>
                <w:rFonts w:ascii="Arial" w:hAnsi="Arial"/>
                <w:b w:val="0"/>
                <w:color w:val="111111"/>
                <w:sz w:val="16"/>
              </w:rPr>
              <w:t>nötig bei eigenem Haushalt mit Partner</w:t>
            </w:r>
          </w:p>
        </w:tc>
      </w:tr>
      <w:tr>
        <w:tc>
          <w:tcPr>
            <w:tcW w:type="dxa" w:w="3336"/>
            <w:tcMar>
              <w:left w:w="80" w:type="dxa"/>
              <w:right w:w="80" w:type="dxa"/>
            </w:tcMar>
          </w:tcPr>
          <w:p>
            <w:pPr>
              <w:spacing w:before="40" w:after="40" w:line="264" w:lineRule="auto"/>
            </w:pPr>
            <w:r>
              <w:rPr>
                <w:rFonts w:ascii="Arial" w:hAnsi="Arial"/>
                <w:b/>
                <w:color w:val="111111"/>
                <w:sz w:val="16"/>
              </w:rPr>
              <w:t>Vermögenserklärung</w:t>
            </w:r>
          </w:p>
        </w:tc>
        <w:tc>
          <w:tcPr>
            <w:tcW w:type="dxa" w:w="6302"/>
            <w:tcMar>
              <w:left w:w="80" w:type="dxa"/>
              <w:right w:w="80" w:type="dxa"/>
            </w:tcMar>
          </w:tcPr>
          <w:p>
            <w:pPr>
              <w:spacing w:before="40" w:after="40" w:line="264" w:lineRule="auto"/>
            </w:pPr>
            <w:r>
              <w:rPr>
                <w:rFonts w:ascii="Arial" w:hAnsi="Arial"/>
                <w:b w:val="0"/>
                <w:color w:val="111111"/>
                <w:sz w:val="16"/>
              </w:rPr>
              <w:t>eigenes Vermögen zum Antragszeitpunkt</w:t>
            </w:r>
          </w:p>
        </w:tc>
      </w:tr>
      <w:tr>
        <w:tc>
          <w:tcPr>
            <w:tcW w:type="dxa" w:w="3336"/>
            <w:tcMar>
              <w:left w:w="80" w:type="dxa"/>
              <w:right w:w="80" w:type="dxa"/>
            </w:tcMar>
          </w:tcPr>
          <w:p>
            <w:pPr>
              <w:spacing w:before="40" w:after="40" w:line="264" w:lineRule="auto"/>
            </w:pPr>
            <w:r>
              <w:rPr>
                <w:rFonts w:ascii="Arial" w:hAnsi="Arial"/>
                <w:b/>
                <w:color w:val="111111"/>
                <w:sz w:val="16"/>
              </w:rPr>
              <w:t>Antrag auf Aktualisierung</w:t>
            </w:r>
          </w:p>
        </w:tc>
        <w:tc>
          <w:tcPr>
            <w:tcW w:type="dxa" w:w="6302"/>
            <w:tcMar>
              <w:left w:w="80" w:type="dxa"/>
              <w:right w:w="80" w:type="dxa"/>
            </w:tcMar>
          </w:tcPr>
          <w:p>
            <w:pPr>
              <w:spacing w:before="40" w:after="40" w:line="264" w:lineRule="auto"/>
            </w:pPr>
            <w:r>
              <w:rPr>
                <w:rFonts w:ascii="Arial" w:hAnsi="Arial"/>
                <w:b w:val="0"/>
                <w:color w:val="111111"/>
                <w:sz w:val="16"/>
              </w:rPr>
              <w:t>wenn sich das Elterneinkommen seit dem zugrunde gelegten Steuerbescheid deutlich verändert hat</w:t>
            </w:r>
          </w:p>
        </w:tc>
      </w:tr>
      <w:tr>
        <w:tc>
          <w:tcPr>
            <w:tcW w:type="dxa" w:w="3336"/>
            <w:tcMar>
              <w:left w:w="80" w:type="dxa"/>
              <w:right w:w="80" w:type="dxa"/>
            </w:tcMar>
          </w:tcPr>
          <w:p>
            <w:pPr>
              <w:spacing w:before="40" w:after="40" w:line="264" w:lineRule="auto"/>
            </w:pPr>
            <w:r>
              <w:rPr>
                <w:rFonts w:ascii="Arial" w:hAnsi="Arial"/>
                <w:b/>
                <w:color w:val="111111"/>
                <w:sz w:val="16"/>
              </w:rPr>
              <w:t>Leistungsübersicht der Hochschule</w:t>
            </w:r>
          </w:p>
        </w:tc>
        <w:tc>
          <w:tcPr>
            <w:tcW w:type="dxa" w:w="6302"/>
            <w:tcMar>
              <w:left w:w="80" w:type="dxa"/>
              <w:right w:w="80" w:type="dxa"/>
            </w:tcMar>
          </w:tcPr>
          <w:p>
            <w:pPr>
              <w:spacing w:before="40" w:after="40" w:line="264" w:lineRule="auto"/>
            </w:pPr>
            <w:r>
              <w:rPr>
                <w:rFonts w:ascii="Arial" w:hAnsi="Arial"/>
                <w:b w:val="0"/>
                <w:color w:val="111111"/>
                <w:sz w:val="16"/>
              </w:rPr>
              <w:t>Nachweis für den Leistungsnachweis nach dem vierten Fachsemester</w:t>
            </w:r>
          </w:p>
        </w:tc>
      </w:tr>
      <w:tr>
        <w:tc>
          <w:tcPr>
            <w:tcW w:type="dxa" w:w="3336"/>
            <w:tcMar>
              <w:left w:w="80" w:type="dxa"/>
              <w:right w:w="80" w:type="dxa"/>
            </w:tcMar>
          </w:tcPr>
          <w:p>
            <w:pPr>
              <w:spacing w:before="40" w:after="40" w:line="264" w:lineRule="auto"/>
            </w:pPr>
            <w:r>
              <w:rPr>
                <w:rFonts w:ascii="Arial" w:hAnsi="Arial"/>
                <w:b/>
                <w:color w:val="111111"/>
                <w:sz w:val="16"/>
              </w:rPr>
              <w:t>Formular zum Fachrichtungswechsel</w:t>
            </w:r>
          </w:p>
        </w:tc>
        <w:tc>
          <w:tcPr>
            <w:tcW w:type="dxa" w:w="6302"/>
            <w:tcMar>
              <w:left w:w="80" w:type="dxa"/>
              <w:right w:w="80" w:type="dxa"/>
            </w:tcMar>
          </w:tcPr>
          <w:p>
            <w:pPr>
              <w:spacing w:before="40" w:after="40" w:line="264" w:lineRule="auto"/>
            </w:pPr>
            <w:r>
              <w:rPr>
                <w:rFonts w:ascii="Arial" w:hAnsi="Arial"/>
                <w:b w:val="0"/>
                <w:color w:val="111111"/>
                <w:sz w:val="16"/>
              </w:rPr>
              <w:t>bei Wechsel des Studiengangs mit Begründung</w:t>
            </w:r>
          </w:p>
        </w:tc>
      </w:tr>
    </w:tbl>
    <w:p>
      <w:pPr>
        <w:spacing w:before="0" w:after="120" w:line="276" w:lineRule="auto"/>
      </w:pPr>
    </w:p>
    <w:p>
      <w:pPr>
        <w:spacing w:before="280" w:after="120" w:line="276" w:lineRule="auto"/>
      </w:pPr>
      <w:r>
        <w:rPr>
          <w:rFonts w:ascii="Arial" w:hAnsi="Arial"/>
          <w:b/>
          <w:i w:val="0"/>
          <w:color w:val="111111"/>
          <w:sz w:val="24"/>
        </w:rPr>
        <w:t>Ablauf: vom Erstantrag zum Leistungsnachweis</w:t>
      </w:r>
    </w:p>
    <w:p>
      <w:pPr>
        <w:spacing w:before="0" w:after="60" w:line="276" w:lineRule="auto"/>
        <w:ind w:left="340" w:hanging="340"/>
      </w:pPr>
      <w:r>
        <w:rPr>
          <w:color w:val="00A85A"/>
        </w:rPr>
        <w:t xml:space="preserve">▪  </w:t>
      </w:r>
      <w:r>
        <w:rPr>
          <w:rFonts w:ascii="Arial" w:hAnsi="Arial"/>
          <w:sz w:val="22"/>
        </w:rPr>
        <w:t>Erstantrag möglichst früh stellen, am besten schon vor Studienbeginn, damit die Förderung ab dem ersten möglichen Monat läuft.</w:t>
      </w:r>
    </w:p>
    <w:p>
      <w:pPr>
        <w:spacing w:before="0" w:after="60" w:line="276" w:lineRule="auto"/>
        <w:ind w:left="340" w:hanging="340"/>
      </w:pPr>
      <w:r>
        <w:rPr>
          <w:color w:val="00A85A"/>
        </w:rPr>
        <w:t xml:space="preserve">▪  </w:t>
      </w:r>
      <w:r>
        <w:rPr>
          <w:rFonts w:ascii="Arial" w:hAnsi="Arial"/>
          <w:sz w:val="22"/>
        </w:rPr>
        <w:t>Bewilligungszeitraum beachten: er ist befristet, danach ist ein Folgeantrag nötig, sonst ruht die Förderung.</w:t>
      </w:r>
    </w:p>
    <w:p>
      <w:pPr>
        <w:spacing w:before="0" w:after="60" w:line="276" w:lineRule="auto"/>
        <w:ind w:left="340" w:hanging="340"/>
      </w:pPr>
      <w:r>
        <w:rPr>
          <w:color w:val="00A85A"/>
        </w:rPr>
        <w:t xml:space="preserve">▪  </w:t>
      </w:r>
      <w:r>
        <w:rPr>
          <w:rFonts w:ascii="Arial" w:hAnsi="Arial"/>
          <w:sz w:val="22"/>
        </w:rPr>
        <w:t>Folgeantrag rechtzeitig vor Ablauf des Bewilligungszeitraums stellen, die genaue Frist steht im Bescheid.</w:t>
      </w:r>
    </w:p>
    <w:p>
      <w:pPr>
        <w:spacing w:before="0" w:after="60" w:line="276" w:lineRule="auto"/>
        <w:ind w:left="340" w:hanging="340"/>
      </w:pPr>
      <w:r>
        <w:rPr>
          <w:color w:val="00A85A"/>
        </w:rPr>
        <w:t xml:space="preserve">▪  </w:t>
      </w:r>
      <w:r>
        <w:rPr>
          <w:rFonts w:ascii="Arial" w:hAnsi="Arial"/>
          <w:sz w:val="22"/>
        </w:rPr>
        <w:t>Nach dem vierten Fachsemester den Leistungsnachweis der Hochschule einreichen.</w:t>
      </w:r>
    </w:p>
    <w:p>
      <w:pPr>
        <w:spacing w:before="0" w:after="60" w:line="276" w:lineRule="auto"/>
        <w:ind w:left="340" w:hanging="340"/>
      </w:pPr>
      <w:r>
        <w:rPr>
          <w:color w:val="00A85A"/>
        </w:rPr>
        <w:t xml:space="preserve">▪  </w:t>
      </w:r>
      <w:r>
        <w:rPr>
          <w:rFonts w:ascii="Arial" w:hAnsi="Arial"/>
          <w:sz w:val="22"/>
        </w:rPr>
        <w:t>Bei Fachrichtungswechsel oder Hochschulwechsel das zuständige Amt vorab informieren, nicht erst im nächsten Antrag.</w:t>
      </w:r>
    </w:p>
    <w:p>
      <w:pPr>
        <w:spacing w:before="280" w:after="120" w:line="276" w:lineRule="auto"/>
      </w:pPr>
      <w:r>
        <w:rPr>
          <w:rFonts w:ascii="Arial" w:hAnsi="Arial"/>
          <w:b/>
          <w:i w:val="0"/>
          <w:color w:val="111111"/>
          <w:sz w:val="24"/>
        </w:rPr>
        <w:t>Fristen und wann du Änderungen melden musst</w:t>
      </w:r>
    </w:p>
    <w:p>
      <w:pPr>
        <w:spacing w:before="0" w:after="60" w:line="276" w:lineRule="auto"/>
        <w:ind w:left="340" w:hanging="340"/>
      </w:pPr>
      <w:r>
        <w:rPr>
          <w:color w:val="00A85A"/>
        </w:rPr>
        <w:t xml:space="preserve">▪  </w:t>
      </w:r>
      <w:r>
        <w:rPr>
          <w:rFonts w:ascii="Arial" w:hAnsi="Arial"/>
          <w:sz w:val="22"/>
        </w:rPr>
        <w:t>Jede Änderung von Einkommen, Vermögen, Wohnsitz oder Familienstand unverzüglich dem Amt für Ausbildungsförderung melden.</w:t>
      </w:r>
    </w:p>
    <w:p>
      <w:pPr>
        <w:spacing w:before="0" w:after="60" w:line="276" w:lineRule="auto"/>
        <w:ind w:left="340" w:hanging="340"/>
      </w:pPr>
      <w:r>
        <w:rPr>
          <w:color w:val="00A85A"/>
        </w:rPr>
        <w:t xml:space="preserve">▪  </w:t>
      </w:r>
      <w:r>
        <w:rPr>
          <w:rFonts w:ascii="Arial" w:hAnsi="Arial"/>
          <w:sz w:val="22"/>
        </w:rPr>
        <w:t>Urlaubssemester, längere Auslandsaufenthalte und Unterbrechungen vorher melden, nicht erst im Folgeantrag.</w:t>
      </w:r>
    </w:p>
    <w:p>
      <w:pPr>
        <w:spacing w:before="0" w:after="60" w:line="276" w:lineRule="auto"/>
        <w:ind w:left="340" w:hanging="340"/>
      </w:pPr>
      <w:r>
        <w:rPr>
          <w:color w:val="00A85A"/>
        </w:rPr>
        <w:t xml:space="preserve">▪  </w:t>
      </w:r>
      <w:r>
        <w:rPr>
          <w:rFonts w:ascii="Arial" w:hAnsi="Arial"/>
          <w:sz w:val="22"/>
        </w:rPr>
        <w:t>Ein verspäteter Folgeantrag kann zu einer Förderlücke führen, die nicht rückwirkend geschlossen wird.</w:t>
      </w:r>
    </w:p>
    <w:p>
      <w:pPr>
        <w:spacing w:before="280" w:after="120" w:line="276" w:lineRule="auto"/>
      </w:pPr>
      <w:r>
        <w:rPr>
          <w:rFonts w:ascii="Arial" w:hAnsi="Arial"/>
          <w:b/>
          <w:i w:val="0"/>
          <w:color w:val="111111"/>
          <w:sz w:val="24"/>
        </w:rPr>
        <w:t>Widerspruch gegen einen Bescheid</w:t>
      </w:r>
    </w:p>
    <w:p>
      <w:pPr>
        <w:spacing w:before="0" w:after="120" w:line="276" w:lineRule="auto"/>
      </w:pPr>
      <w:r>
        <w:rPr>
          <w:rFonts w:ascii="Arial" w:hAnsi="Arial"/>
          <w:b w:val="0"/>
          <w:i w:val="0"/>
          <w:color w:val="111111"/>
          <w:sz w:val="22"/>
        </w:rPr>
        <w:t>Gegen einen BAföG-Bescheid kannst du innerhalb der im Bescheid genannten Frist schriftlich Widerspruch einlegen. Nenne das Aktenzeichen, begründe kurz, welche Angabe du für falsch hältst, und lege fehlende Nachweise gleich bei. Bleibt der Widerspruch erfolglos, folgt als nächster Schritt die Klage vor dem zuständigen Sozialgericht.</w:t>
      </w:r>
    </w:p>
    <w:p>
      <w:pPr>
        <w:spacing w:before="280" w:after="120" w:line="276" w:lineRule="auto"/>
      </w:pPr>
      <w:r>
        <w:rPr>
          <w:rFonts w:ascii="Arial" w:hAnsi="Arial"/>
          <w:b/>
          <w:i w:val="0"/>
          <w:color w:val="111111"/>
          <w:sz w:val="24"/>
        </w:rPr>
        <w:t>Rückzahlung und Nachlass</w:t>
      </w:r>
    </w:p>
    <w:p>
      <w:pPr>
        <w:spacing w:before="0" w:after="120" w:line="276" w:lineRule="auto"/>
      </w:pPr>
      <w:r>
        <w:rPr>
          <w:rFonts w:ascii="Arial" w:hAnsi="Arial"/>
          <w:b w:val="0"/>
          <w:i w:val="0"/>
          <w:color w:val="111111"/>
          <w:sz w:val="22"/>
        </w:rPr>
        <w:t>Der Darlehensanteil des BAföG wird nach dem Studium in Raten zurückgezahlt. Die genaue Höhe und der Rückzahlungsbeginn stehen im Rückzahlungsbescheid des Bundesverwaltungsamts. Bei geringem Einkommen lässt sich eine Freistellung von der Rückzahlung beantragen. Für eine vorzeitige Rückzahlung in einer Summe gewährt das Bundesverwaltungsamt unter bestimmten Voraussetzungen einen Nachlass.</w:t>
      </w:r>
    </w:p>
    <w:p>
      <w:pPr>
        <w:spacing w:before="280" w:after="120" w:line="276" w:lineRule="auto"/>
      </w:pPr>
      <w:r>
        <w:rPr>
          <w:rFonts w:ascii="Arial" w:hAnsi="Arial"/>
          <w:b/>
          <w:i w:val="0"/>
          <w:color w:val="111111"/>
          <w:sz w:val="24"/>
        </w:rPr>
        <w:t>Vollzuschuss und Darlehen: der Unterschied</w:t>
      </w:r>
    </w:p>
    <w:p>
      <w:pPr>
        <w:spacing w:before="0" w:after="120" w:line="276" w:lineRule="auto"/>
      </w:pPr>
      <w:r>
        <w:rPr>
          <w:rFonts w:ascii="Arial" w:hAnsi="Arial"/>
          <w:b w:val="0"/>
          <w:i w:val="0"/>
          <w:color w:val="111111"/>
          <w:sz w:val="22"/>
        </w:rPr>
        <w:t>Beim Studierenden-BAföG ist ein Teil in der Regel ein Zuschuss ohne Rückzahlung, der andere Teil ein zinsloses Darlehen. Meister-BAföG und einzelne andere Förderungen laufen anders, teils mit höherem Zuschussanteil oder einem Teilerlass bei bestandener Prüfung. Die genaue Aufteilung im eigenen Fall steht immer im Bescheid, er ist der verbindliche Wert.</w:t>
      </w:r>
    </w:p>
    <w:p>
      <w:pPr>
        <w:spacing w:before="280" w:after="120" w:line="276" w:lineRule="auto"/>
      </w:pPr>
      <w:r>
        <w:rPr>
          <w:rFonts w:ascii="Arial" w:hAnsi="Arial"/>
          <w:b/>
          <w:i w:val="0"/>
          <w:color w:val="111111"/>
          <w:sz w:val="24"/>
        </w:rPr>
        <w:t>Stipendien: Arten und wo du sie findest</w:t>
      </w:r>
    </w:p>
    <w:p>
      <w:pPr>
        <w:spacing w:before="0" w:after="60" w:line="276" w:lineRule="auto"/>
        <w:ind w:left="340" w:hanging="340"/>
      </w:pPr>
      <w:r>
        <w:rPr>
          <w:color w:val="00A85A"/>
        </w:rPr>
        <w:t xml:space="preserve">▪  </w:t>
      </w:r>
      <w:r>
        <w:rPr>
          <w:rFonts w:ascii="Arial" w:hAnsi="Arial"/>
          <w:sz w:val="22"/>
        </w:rPr>
        <w:t>Begabtenförderungswerke (parteinah, kirchlich, gewerkschaftsnah oder unabhängig) fördern nach Leistung und gesellschaftlichem Engagement.</w:t>
      </w:r>
    </w:p>
    <w:p>
      <w:pPr>
        <w:spacing w:before="0" w:after="60" w:line="276" w:lineRule="auto"/>
        <w:ind w:left="340" w:hanging="340"/>
      </w:pPr>
      <w:r>
        <w:rPr>
          <w:color w:val="00A85A"/>
        </w:rPr>
        <w:t xml:space="preserve">▪  </w:t>
      </w:r>
      <w:r>
        <w:rPr>
          <w:rFonts w:ascii="Arial" w:hAnsi="Arial"/>
          <w:sz w:val="22"/>
        </w:rPr>
        <w:t>Deutschlandstipendium: gemeinsam von Unternehmen und Bund finanziert, Bewerbung läuft über die Hochschule.</w:t>
      </w:r>
    </w:p>
    <w:p>
      <w:pPr>
        <w:spacing w:before="0" w:after="60" w:line="276" w:lineRule="auto"/>
        <w:ind w:left="340" w:hanging="340"/>
      </w:pPr>
      <w:r>
        <w:rPr>
          <w:color w:val="00A85A"/>
        </w:rPr>
        <w:t xml:space="preserve">▪  </w:t>
      </w:r>
      <w:r>
        <w:rPr>
          <w:rFonts w:ascii="Arial" w:hAnsi="Arial"/>
          <w:sz w:val="22"/>
        </w:rPr>
        <w:t>Stipendiendatenbanken der Hochschulen, des Deutschen Akademischen Austauschdienstes und von Stiftungsverbänden helfen bei der Suche.</w:t>
      </w:r>
    </w:p>
    <w:p>
      <w:pPr>
        <w:spacing w:before="0" w:after="60" w:line="276" w:lineRule="auto"/>
        <w:ind w:left="340" w:hanging="340"/>
      </w:pPr>
      <w:r>
        <w:rPr>
          <w:color w:val="00A85A"/>
        </w:rPr>
        <w:t xml:space="preserve">▪  </w:t>
      </w:r>
      <w:r>
        <w:rPr>
          <w:rFonts w:ascii="Arial" w:hAnsi="Arial"/>
          <w:sz w:val="22"/>
        </w:rPr>
        <w:t>Bewerbungsfristen liegen oft Monate vor dem Förderbeginn, deshalb frühzeitig informieren.</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Der Folgeantrag wird zu spät gestellt, dadurch entsteht eine Förderlücke.</w:t>
      </w:r>
    </w:p>
    <w:p>
      <w:pPr>
        <w:spacing w:before="0" w:after="60" w:line="276" w:lineRule="auto"/>
        <w:ind w:left="340" w:hanging="340"/>
      </w:pPr>
      <w:r>
        <w:rPr>
          <w:color w:val="00A85A"/>
        </w:rPr>
        <w:t xml:space="preserve">▪  </w:t>
      </w:r>
      <w:r>
        <w:rPr>
          <w:rFonts w:ascii="Arial" w:hAnsi="Arial"/>
          <w:sz w:val="22"/>
        </w:rPr>
        <w:t>Eine Änderung bei Einkommen oder Wohnsitz wird nicht gemeldet, das kann zu einer Rückforderung führen.</w:t>
      </w:r>
    </w:p>
    <w:p>
      <w:pPr>
        <w:spacing w:before="0" w:after="60" w:line="276" w:lineRule="auto"/>
        <w:ind w:left="340" w:hanging="340"/>
      </w:pPr>
      <w:r>
        <w:rPr>
          <w:color w:val="00A85A"/>
        </w:rPr>
        <w:t xml:space="preserve">▪  </w:t>
      </w:r>
      <w:r>
        <w:rPr>
          <w:rFonts w:ascii="Arial" w:hAnsi="Arial"/>
          <w:sz w:val="22"/>
        </w:rPr>
        <w:t>Ein Bescheid wird als falsch empfunden, aber die Widerspruchsfrist wird versäumt.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BAföG und Stipendium: Merkzettel zur Studienfinanzierung</dc:title>
  <dc:subject>Merkzettel zum Ausdrucken, zwei Seiten</dc:subject>
  <dc:creator>korrektur.de</dc:creator>
  <cp:keywords>BAföG, Stipendium, Studienfinanzierung, Formblätter, Folgeantrag, Merkzettel</cp:keywords>
  <dc:description>Kostenlose Vorlage von korrektur.de. Aktuelle Fassung: https://korrektur.de/bafoeg-antrag-anleitung</dc:description>
  <cp:lastModifiedBy>korrektur.de</cp:lastModifiedBy>
  <cp:revision>1</cp:revision>
  <dcterms:created xsi:type="dcterms:W3CDTF">2013-12-23T23:15:00Z</dcterms:created>
  <dcterms:modified xsi:type="dcterms:W3CDTF">2013-12-23T23:15:00Z</dcterms:modified>
  <cp:category>Vorlage</cp:category>
</cp:coreProperties>
</file>