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MERKZETTEL ZUM FREIEN GEBRAUCH</w:t>
      </w:r>
    </w:p>
    <w:p>
      <w:pPr>
        <w:spacing w:before="0" w:after="280" w:line="252" w:lineRule="auto"/>
      </w:pPr>
      <w:r>
        <w:rPr>
          <w:rFonts w:ascii="Arial" w:hAnsi="Arial"/>
          <w:b/>
          <w:i w:val="0"/>
          <w:color w:val="111111"/>
          <w:sz w:val="38"/>
        </w:rPr>
        <w:t>Auslandssemester auf zwei Seiten</w:t>
      </w:r>
    </w:p>
    <w:p>
      <w:pPr>
        <w:spacing w:before="0" w:after="160" w:line="276" w:lineRule="auto"/>
      </w:pPr>
      <w:r>
        <w:rPr>
          <w:rFonts w:ascii="Arial" w:hAnsi="Arial"/>
          <w:b w:val="0"/>
          <w:i w:val="0"/>
          <w:color w:val="111111"/>
          <w:sz w:val="22"/>
        </w:rPr>
        <w:t>Auf den nächsten zwei Seiten stehen die Zeitleiste rückwärts vom Abflug, die wichtigsten Wege ins Ausland im Vergleich, die Anerkennung von Leistungen und eine Dokumenten-Checkliste zum Abhaken.</w:t>
      </w:r>
    </w:p>
    <w:p>
      <w:pPr>
        <w:spacing w:before="280" w:after="120" w:line="276" w:lineRule="auto"/>
      </w:pPr>
      <w:r>
        <w:rPr>
          <w:rFonts w:ascii="Arial" w:hAnsi="Arial"/>
          <w:b/>
          <w:i w:val="0"/>
          <w:color w:val="111111"/>
          <w:sz w:val="24"/>
        </w:rPr>
        <w:t>So nutzt du den Merkzettel</w:t>
      </w:r>
    </w:p>
    <w:p>
      <w:pPr>
        <w:spacing w:before="0" w:after="80" w:line="276" w:lineRule="auto"/>
        <w:ind w:left="425" w:hanging="425"/>
      </w:pPr>
      <w:r>
        <w:rPr>
          <w:rFonts w:ascii="Arial" w:hAnsi="Arial"/>
          <w:b/>
          <w:color w:val="006B46"/>
        </w:rPr>
        <w:t xml:space="preserve">1.  </w:t>
      </w:r>
      <w:r>
        <w:rPr>
          <w:rFonts w:ascii="Arial" w:hAnsi="Arial"/>
          <w:sz w:val="22"/>
        </w:rPr>
        <w:t>Drucke nur die Seiten ab Seite 2. Diese Anleitungsseite brauchst du nicht an der Wand.</w:t>
      </w:r>
    </w:p>
    <w:p>
      <w:pPr>
        <w:spacing w:before="0" w:after="80" w:line="276" w:lineRule="auto"/>
        <w:ind w:left="425" w:hanging="425"/>
      </w:pPr>
      <w:r>
        <w:rPr>
          <w:rFonts w:ascii="Arial" w:hAnsi="Arial"/>
          <w:b/>
          <w:color w:val="006B46"/>
        </w:rPr>
        <w:t xml:space="preserve">2.  </w:t>
      </w:r>
      <w:r>
        <w:rPr>
          <w:rFonts w:ascii="Arial" w:hAnsi="Arial"/>
          <w:sz w:val="22"/>
        </w:rPr>
        <w:t>Häng den Zettel dorthin, wo du schreibst, oder leg ihn vorn in die Mappe. Ein Merkzettel wirkt nur, wenn er im Blick ist.</w:t>
      </w:r>
    </w:p>
    <w:p>
      <w:pPr>
        <w:spacing w:before="0" w:after="80" w:line="276" w:lineRule="auto"/>
        <w:ind w:left="425" w:hanging="425"/>
      </w:pPr>
      <w:r>
        <w:rPr>
          <w:rFonts w:ascii="Arial" w:hAnsi="Arial"/>
          <w:b/>
          <w:color w:val="006B46"/>
        </w:rPr>
        <w:t xml:space="preserve">3.  </w:t>
      </w:r>
      <w:r>
        <w:rPr>
          <w:rFonts w:ascii="Arial" w:hAnsi="Arial"/>
          <w:sz w:val="22"/>
        </w:rPr>
        <w:t>Lies beim Überarbeiten einmal nur nach diesem Zettel durch den Text. Eine Regel pro Durchgang findet mehr als alle auf einmal.</w:t>
      </w:r>
    </w:p>
    <w:p>
      <w:pPr>
        <w:spacing w:before="0" w:after="80" w:line="276" w:lineRule="auto"/>
        <w:ind w:left="425" w:hanging="425"/>
      </w:pPr>
      <w:r>
        <w:rPr>
          <w:rFonts w:ascii="Arial" w:hAnsi="Arial"/>
          <w:b/>
          <w:color w:val="006B46"/>
        </w:rPr>
        <w:t xml:space="preserve">4.  </w:t>
      </w:r>
      <w:r>
        <w:rPr>
          <w:rFonts w:ascii="Arial" w:hAnsi="Arial"/>
          <w:sz w:val="22"/>
        </w:rPr>
        <w:t>Die Word-Datei darfst du kürzen und ergänzen: streich, was du sicher kannst, und trag deine eigenen Stolperstellen ein.</w:t>
      </w:r>
    </w:p>
    <w:p>
      <w:pPr>
        <w:spacing w:before="280" w:after="120" w:line="276" w:lineRule="auto"/>
      </w:pPr>
      <w:r>
        <w:rPr>
          <w:rFonts w:ascii="Arial" w:hAnsi="Arial"/>
          <w:b/>
          <w:i w:val="0"/>
          <w:color w:val="111111"/>
          <w:sz w:val="24"/>
        </w:rPr>
        <w:t>Wofür der Zettel gedacht ist</w:t>
      </w:r>
    </w:p>
    <w:p>
      <w:pPr>
        <w:spacing w:before="0" w:after="80" w:line="276" w:lineRule="auto"/>
        <w:ind w:left="340" w:hanging="340"/>
      </w:pPr>
      <w:r>
        <w:rPr>
          <w:color w:val="00A85A"/>
        </w:rPr>
        <w:t xml:space="preserve">▪  </w:t>
      </w:r>
      <w:r>
        <w:rPr>
          <w:rFonts w:ascii="Arial" w:hAnsi="Arial"/>
          <w:sz w:val="22"/>
        </w:rPr>
        <w:t>Die ersten Wochen der Planung, wenn noch unklar ist, welcher Weg (Erasmus, Freemover, Double Degree) überhaupt passt.</w:t>
      </w:r>
    </w:p>
    <w:p>
      <w:pPr>
        <w:spacing w:before="0" w:after="80" w:line="276" w:lineRule="auto"/>
        <w:ind w:left="340" w:hanging="340"/>
      </w:pPr>
      <w:r>
        <w:rPr>
          <w:color w:val="00A85A"/>
        </w:rPr>
        <w:t xml:space="preserve">▪  </w:t>
      </w:r>
      <w:r>
        <w:rPr>
          <w:rFonts w:ascii="Arial" w:hAnsi="Arial"/>
          <w:sz w:val="22"/>
        </w:rPr>
        <w:t>Die letzten Monate vor dem Abflug, um keinen Schritt aus der Zeitleiste zu übersehen.</w:t>
      </w:r>
    </w:p>
    <w:p>
      <w:pPr>
        <w:spacing w:before="0" w:after="80" w:line="276" w:lineRule="auto"/>
        <w:ind w:left="340" w:hanging="340"/>
      </w:pPr>
      <w:r>
        <w:rPr>
          <w:color w:val="00A85A"/>
        </w:rPr>
        <w:t xml:space="preserve">▪  </w:t>
      </w:r>
      <w:r>
        <w:rPr>
          <w:rFonts w:ascii="Arial" w:hAnsi="Arial"/>
          <w:sz w:val="22"/>
        </w:rPr>
        <w:t>Das Gespräch mit dem Auslandsamt oder der Fachkoordination, um gezielt nach der Anerkennung offener Punkte zu fragen.</w:t>
      </w:r>
    </w:p>
    <w:p>
      <w:pPr>
        <w:spacing w:before="280" w:after="120" w:line="276" w:lineRule="auto"/>
      </w:pPr>
      <w:r>
        <w:rPr>
          <w:rFonts w:ascii="Arial" w:hAnsi="Arial"/>
          <w:b/>
          <w:i w:val="0"/>
          <w:color w:val="111111"/>
          <w:sz w:val="24"/>
        </w:rPr>
        <w:t>Was uns in der Korrektur dazu am häufigsten begegnet</w:t>
      </w:r>
    </w:p>
    <w:p>
      <w:pPr>
        <w:spacing w:before="0" w:after="80" w:line="276" w:lineRule="auto"/>
        <w:ind w:left="340" w:hanging="340"/>
      </w:pPr>
      <w:r>
        <w:rPr>
          <w:color w:val="00A85A"/>
        </w:rPr>
        <w:t xml:space="preserve">▪  </w:t>
      </w:r>
      <w:r>
        <w:rPr>
          <w:rFonts w:ascii="Arial" w:hAnsi="Arial"/>
          <w:sz w:val="22"/>
        </w:rPr>
        <w:t>Das Learning Agreement wird erst nach der Ankunft ausgefüllt, dabei muss es meist schon zur Bewerbung stehen.</w:t>
      </w:r>
    </w:p>
    <w:p>
      <w:pPr>
        <w:spacing w:before="0" w:after="80" w:line="276" w:lineRule="auto"/>
        <w:ind w:left="340" w:hanging="340"/>
      </w:pPr>
      <w:r>
        <w:rPr>
          <w:color w:val="00A85A"/>
        </w:rPr>
        <w:t xml:space="preserve">▪  </w:t>
      </w:r>
      <w:r>
        <w:rPr>
          <w:rFonts w:ascii="Arial" w:hAnsi="Arial"/>
          <w:sz w:val="22"/>
        </w:rPr>
        <w:t>Ein Kurs wird im Ausland belegt, ohne die Anerkennung vorher mit der Fachstudienberatung abzuklären.</w:t>
      </w:r>
    </w:p>
    <w:p>
      <w:pPr>
        <w:spacing w:before="0" w:after="80" w:line="276" w:lineRule="auto"/>
        <w:ind w:left="340" w:hanging="340"/>
      </w:pPr>
      <w:r>
        <w:rPr>
          <w:color w:val="00A85A"/>
        </w:rPr>
        <w:t xml:space="preserve">▪  </w:t>
      </w:r>
      <w:r>
        <w:rPr>
          <w:rFonts w:ascii="Arial" w:hAnsi="Arial"/>
          <w:sz w:val="22"/>
        </w:rPr>
        <w:t>Der Förderantrag oder das Visum werden zu spät gestellt, weil die Bearbeitungszeit unterschätzt wird.</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Wenn es darauf ankommt</w:t>
            </w:r>
          </w:p>
          <w:p>
            <w:pPr>
              <w:spacing w:after="120"/>
            </w:pPr>
            <w:r>
              <w:rPr>
                <w:rFonts w:ascii="Arial" w:hAnsi="Arial"/>
                <w:sz w:val="20"/>
              </w:rPr>
              <w:t xml:space="preserve">Ein Antrag oder ein Motivationsschreiben fürs Auslandssemester liest sich schlecht mit Flüchtigkeitsfehlern. Wir lesen Zeichensetzung, Rechtschreibung, Grammatik und Ausdruck gegen: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Diesen Merkzettel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80" w:after="180" w:line="276" w:lineRule="auto"/>
      </w:pPr>
      <w:r>
        <w:rPr>
          <w:rFonts w:ascii="Arial" w:hAnsi="Arial"/>
          <w:b/>
          <w:i w:val="0"/>
          <w:color w:val="006B46"/>
          <w:sz w:val="17"/>
        </w:rPr>
        <w:t>MERKZETTEL STUDIENORGANISATION</w:t>
      </w:r>
    </w:p>
    <w:p>
      <w:pPr>
        <w:spacing w:before="0" w:after="280" w:line="252" w:lineRule="auto"/>
      </w:pPr>
      <w:r>
        <w:rPr>
          <w:rFonts w:ascii="Arial" w:hAnsi="Arial"/>
          <w:b/>
          <w:i w:val="0"/>
          <w:color w:val="111111"/>
          <w:sz w:val="38"/>
        </w:rPr>
        <w:t>Auslandssemester auf zwei Seiten</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00" w:after="100"/>
            </w:pPr>
            <w:r>
              <w:rPr>
                <w:rFonts w:ascii="Arial" w:hAnsi="Arial"/>
                <w:b/>
                <w:color w:val="006B46"/>
                <w:sz w:val="22"/>
              </w:rPr>
              <w:t>Ein Auslandssemester gelingt vor allem durch die richtige Reihenfolge: Anerkennung und Learning Agreement zuerst klären, danach erst Wohnung, Versicherung und die letzten Formalitäten.</w:t>
            </w:r>
          </w:p>
        </w:tc>
      </w:tr>
    </w:tbl>
    <w:p>
      <w:pPr>
        <w:spacing w:before="0" w:after="140" w:line="20" w:lineRule="exact"/>
      </w:pPr>
    </w:p>
    <w:p>
      <w:pPr>
        <w:spacing w:before="280" w:after="120" w:line="276" w:lineRule="auto"/>
      </w:pPr>
      <w:r>
        <w:rPr>
          <w:rFonts w:ascii="Arial" w:hAnsi="Arial"/>
          <w:b/>
          <w:i w:val="0"/>
          <w:color w:val="111111"/>
          <w:sz w:val="24"/>
        </w:rPr>
        <w:t>Zeitleiste rückwärts vom Abflug</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3213"/>
        <w:gridCol w:w="6425"/>
      </w:tblGrid>
      <w:tr>
        <w:tc>
          <w:tcPr>
            <w:tcW w:type="dxa" w:w="3213"/>
            <w:shd w:val="clear" w:color="auto" w:fill="F2F8F4"/>
            <w:tcMar>
              <w:left w:w="80" w:type="dxa"/>
              <w:right w:w="80" w:type="dxa"/>
            </w:tcMar>
          </w:tcPr>
          <w:p>
            <w:pPr>
              <w:spacing w:before="40" w:after="40" w:line="264" w:lineRule="auto"/>
            </w:pPr>
            <w:r>
              <w:rPr>
                <w:rFonts w:ascii="Arial" w:hAnsi="Arial"/>
                <w:b/>
                <w:color w:val="006B46"/>
                <w:sz w:val="16"/>
              </w:rPr>
              <w:t>Schritt</w:t>
            </w:r>
          </w:p>
        </w:tc>
        <w:tc>
          <w:tcPr>
            <w:tcW w:type="dxa" w:w="6425"/>
            <w:shd w:val="clear" w:color="auto" w:fill="F2F8F4"/>
            <w:tcMar>
              <w:left w:w="80" w:type="dxa"/>
              <w:right w:w="80" w:type="dxa"/>
            </w:tcMar>
          </w:tcPr>
          <w:p>
            <w:pPr>
              <w:spacing w:before="40" w:after="40" w:line="264" w:lineRule="auto"/>
            </w:pPr>
            <w:r>
              <w:rPr>
                <w:rFonts w:ascii="Arial" w:hAnsi="Arial"/>
                <w:b/>
                <w:color w:val="006B46"/>
                <w:sz w:val="16"/>
              </w:rPr>
              <w:t>Worum es geht</w:t>
            </w:r>
          </w:p>
        </w:tc>
      </w:tr>
      <w:tr>
        <w:tc>
          <w:tcPr>
            <w:tcW w:type="dxa" w:w="3213"/>
            <w:tcMar>
              <w:left w:w="80" w:type="dxa"/>
              <w:right w:w="80" w:type="dxa"/>
            </w:tcMar>
          </w:tcPr>
          <w:p>
            <w:pPr>
              <w:spacing w:before="40" w:after="40" w:line="264" w:lineRule="auto"/>
            </w:pPr>
            <w:r>
              <w:rPr>
                <w:rFonts w:ascii="Arial" w:hAnsi="Arial"/>
                <w:b/>
                <w:color w:val="111111"/>
                <w:sz w:val="16"/>
              </w:rPr>
              <w:t>Bewerbung an der Partnerhochschule</w:t>
            </w:r>
          </w:p>
        </w:tc>
        <w:tc>
          <w:tcPr>
            <w:tcW w:type="dxa" w:w="6425"/>
            <w:tcMar>
              <w:left w:w="80" w:type="dxa"/>
              <w:right w:w="80" w:type="dxa"/>
            </w:tcMar>
          </w:tcPr>
          <w:p>
            <w:pPr>
              <w:spacing w:before="40" w:after="40" w:line="264" w:lineRule="auto"/>
            </w:pPr>
            <w:r>
              <w:rPr>
                <w:rFonts w:ascii="Arial" w:hAnsi="Arial"/>
                <w:b w:val="0"/>
                <w:color w:val="111111"/>
                <w:sz w:val="16"/>
              </w:rPr>
              <w:t>Unterlagen bei der eigenen Hochschule und danach bei der Partnerhochschule einreichen, Fristen beider Seiten beachten.</w:t>
            </w:r>
          </w:p>
        </w:tc>
      </w:tr>
      <w:tr>
        <w:tc>
          <w:tcPr>
            <w:tcW w:type="dxa" w:w="3213"/>
            <w:tcMar>
              <w:left w:w="80" w:type="dxa"/>
              <w:right w:w="80" w:type="dxa"/>
            </w:tcMar>
          </w:tcPr>
          <w:p>
            <w:pPr>
              <w:spacing w:before="40" w:after="40" w:line="264" w:lineRule="auto"/>
            </w:pPr>
            <w:r>
              <w:rPr>
                <w:rFonts w:ascii="Arial" w:hAnsi="Arial"/>
                <w:b/>
                <w:color w:val="111111"/>
                <w:sz w:val="16"/>
              </w:rPr>
              <w:t>Nominierung</w:t>
            </w:r>
          </w:p>
        </w:tc>
        <w:tc>
          <w:tcPr>
            <w:tcW w:type="dxa" w:w="6425"/>
            <w:tcMar>
              <w:left w:w="80" w:type="dxa"/>
              <w:right w:w="80" w:type="dxa"/>
            </w:tcMar>
          </w:tcPr>
          <w:p>
            <w:pPr>
              <w:spacing w:before="40" w:after="40" w:line="264" w:lineRule="auto"/>
            </w:pPr>
            <w:r>
              <w:rPr>
                <w:rFonts w:ascii="Arial" w:hAnsi="Arial"/>
                <w:b w:val="0"/>
                <w:color w:val="111111"/>
                <w:sz w:val="16"/>
              </w:rPr>
              <w:t>Die eigene Hochschule meldet dich offiziell bei der Partnerhochschule an, erst danach kann diese zusagen.</w:t>
            </w:r>
          </w:p>
        </w:tc>
      </w:tr>
      <w:tr>
        <w:tc>
          <w:tcPr>
            <w:tcW w:type="dxa" w:w="3213"/>
            <w:tcMar>
              <w:left w:w="80" w:type="dxa"/>
              <w:right w:w="80" w:type="dxa"/>
            </w:tcMar>
          </w:tcPr>
          <w:p>
            <w:pPr>
              <w:spacing w:before="40" w:after="40" w:line="264" w:lineRule="auto"/>
            </w:pPr>
            <w:r>
              <w:rPr>
                <w:rFonts w:ascii="Arial" w:hAnsi="Arial"/>
                <w:b/>
                <w:color w:val="111111"/>
                <w:sz w:val="16"/>
              </w:rPr>
              <w:t>Learning Agreement erstellen</w:t>
            </w:r>
          </w:p>
        </w:tc>
        <w:tc>
          <w:tcPr>
            <w:tcW w:type="dxa" w:w="6425"/>
            <w:tcMar>
              <w:left w:w="80" w:type="dxa"/>
              <w:right w:w="80" w:type="dxa"/>
            </w:tcMar>
          </w:tcPr>
          <w:p>
            <w:pPr>
              <w:spacing w:before="40" w:after="40" w:line="264" w:lineRule="auto"/>
            </w:pPr>
            <w:r>
              <w:rPr>
                <w:rFonts w:ascii="Arial" w:hAnsi="Arial"/>
                <w:b w:val="0"/>
                <w:color w:val="111111"/>
                <w:sz w:val="16"/>
              </w:rPr>
              <w:t>Kurse an der Partnerhochschule auswählen und mit der Fachstudienberatung auf Anerkennung prüfen.</w:t>
            </w:r>
          </w:p>
        </w:tc>
      </w:tr>
      <w:tr>
        <w:tc>
          <w:tcPr>
            <w:tcW w:type="dxa" w:w="3213"/>
            <w:tcMar>
              <w:left w:w="80" w:type="dxa"/>
              <w:right w:w="80" w:type="dxa"/>
            </w:tcMar>
          </w:tcPr>
          <w:p>
            <w:pPr>
              <w:spacing w:before="40" w:after="40" w:line="264" w:lineRule="auto"/>
            </w:pPr>
            <w:r>
              <w:rPr>
                <w:rFonts w:ascii="Arial" w:hAnsi="Arial"/>
                <w:b/>
                <w:color w:val="111111"/>
                <w:sz w:val="16"/>
              </w:rPr>
              <w:t>Sprachnachweis</w:t>
            </w:r>
          </w:p>
        </w:tc>
        <w:tc>
          <w:tcPr>
            <w:tcW w:type="dxa" w:w="6425"/>
            <w:tcMar>
              <w:left w:w="80" w:type="dxa"/>
              <w:right w:w="80" w:type="dxa"/>
            </w:tcMar>
          </w:tcPr>
          <w:p>
            <w:pPr>
              <w:spacing w:before="40" w:after="40" w:line="264" w:lineRule="auto"/>
            </w:pPr>
            <w:r>
              <w:rPr>
                <w:rFonts w:ascii="Arial" w:hAnsi="Arial"/>
                <w:b w:val="0"/>
                <w:color w:val="111111"/>
                <w:sz w:val="16"/>
              </w:rPr>
              <w:t>Sprachzertifikat oder Sprachtest rechtzeitig besorgen, manche Nachweise haben eine begrenzte Gültigkeit.</w:t>
            </w:r>
          </w:p>
        </w:tc>
      </w:tr>
      <w:tr>
        <w:tc>
          <w:tcPr>
            <w:tcW w:type="dxa" w:w="3213"/>
            <w:tcMar>
              <w:left w:w="80" w:type="dxa"/>
              <w:right w:w="80" w:type="dxa"/>
            </w:tcMar>
          </w:tcPr>
          <w:p>
            <w:pPr>
              <w:spacing w:before="40" w:after="40" w:line="264" w:lineRule="auto"/>
            </w:pPr>
            <w:r>
              <w:rPr>
                <w:rFonts w:ascii="Arial" w:hAnsi="Arial"/>
                <w:b/>
                <w:color w:val="111111"/>
                <w:sz w:val="16"/>
              </w:rPr>
              <w:t>Förderantrag stellen</w:t>
            </w:r>
          </w:p>
        </w:tc>
        <w:tc>
          <w:tcPr>
            <w:tcW w:type="dxa" w:w="6425"/>
            <w:tcMar>
              <w:left w:w="80" w:type="dxa"/>
              <w:right w:w="80" w:type="dxa"/>
            </w:tcMar>
          </w:tcPr>
          <w:p>
            <w:pPr>
              <w:spacing w:before="40" w:after="40" w:line="264" w:lineRule="auto"/>
            </w:pPr>
            <w:r>
              <w:rPr>
                <w:rFonts w:ascii="Arial" w:hAnsi="Arial"/>
                <w:b w:val="0"/>
                <w:color w:val="111111"/>
                <w:sz w:val="16"/>
              </w:rPr>
              <w:t>Antrag auf ein Förderprogramm (etwa Erasmus oder PROMOS) fristgerecht bei der zuständigen Stelle einreichen.</w:t>
            </w:r>
          </w:p>
        </w:tc>
      </w:tr>
      <w:tr>
        <w:tc>
          <w:tcPr>
            <w:tcW w:type="dxa" w:w="3213"/>
            <w:tcMar>
              <w:left w:w="80" w:type="dxa"/>
              <w:right w:w="80" w:type="dxa"/>
            </w:tcMar>
          </w:tcPr>
          <w:p>
            <w:pPr>
              <w:spacing w:before="40" w:after="40" w:line="264" w:lineRule="auto"/>
            </w:pPr>
            <w:r>
              <w:rPr>
                <w:rFonts w:ascii="Arial" w:hAnsi="Arial"/>
                <w:b/>
                <w:color w:val="111111"/>
                <w:sz w:val="16"/>
              </w:rPr>
              <w:t>Visum beantragen</w:t>
            </w:r>
          </w:p>
        </w:tc>
        <w:tc>
          <w:tcPr>
            <w:tcW w:type="dxa" w:w="6425"/>
            <w:tcMar>
              <w:left w:w="80" w:type="dxa"/>
              <w:right w:w="80" w:type="dxa"/>
            </w:tcMar>
          </w:tcPr>
          <w:p>
            <w:pPr>
              <w:spacing w:before="40" w:after="40" w:line="264" w:lineRule="auto"/>
            </w:pPr>
            <w:r>
              <w:rPr>
                <w:rFonts w:ascii="Arial" w:hAnsi="Arial"/>
                <w:b w:val="0"/>
                <w:color w:val="111111"/>
                <w:sz w:val="16"/>
              </w:rPr>
              <w:t>Bei Zielländern außerhalb der EU frühzeitig prüfen, welche Unterlagen die Botschaft verlangt.</w:t>
            </w:r>
          </w:p>
        </w:tc>
      </w:tr>
      <w:tr>
        <w:tc>
          <w:tcPr>
            <w:tcW w:type="dxa" w:w="3213"/>
            <w:tcMar>
              <w:left w:w="80" w:type="dxa"/>
              <w:right w:w="80" w:type="dxa"/>
            </w:tcMar>
          </w:tcPr>
          <w:p>
            <w:pPr>
              <w:spacing w:before="40" w:after="40" w:line="264" w:lineRule="auto"/>
            </w:pPr>
            <w:r>
              <w:rPr>
                <w:rFonts w:ascii="Arial" w:hAnsi="Arial"/>
                <w:b/>
                <w:color w:val="111111"/>
                <w:sz w:val="16"/>
              </w:rPr>
              <w:t>Versicherung abschließen</w:t>
            </w:r>
          </w:p>
        </w:tc>
        <w:tc>
          <w:tcPr>
            <w:tcW w:type="dxa" w:w="6425"/>
            <w:tcMar>
              <w:left w:w="80" w:type="dxa"/>
              <w:right w:w="80" w:type="dxa"/>
            </w:tcMar>
          </w:tcPr>
          <w:p>
            <w:pPr>
              <w:spacing w:before="40" w:after="40" w:line="264" w:lineRule="auto"/>
            </w:pPr>
            <w:r>
              <w:rPr>
                <w:rFonts w:ascii="Arial" w:hAnsi="Arial"/>
                <w:b w:val="0"/>
                <w:color w:val="111111"/>
                <w:sz w:val="16"/>
              </w:rPr>
              <w:t>Auslandskrankenversicherung und, falls nötig, weitere Versicherungen für den Zeitraum vor Ort klären.</w:t>
            </w:r>
          </w:p>
        </w:tc>
      </w:tr>
      <w:tr>
        <w:tc>
          <w:tcPr>
            <w:tcW w:type="dxa" w:w="3213"/>
            <w:tcMar>
              <w:left w:w="80" w:type="dxa"/>
              <w:right w:w="80" w:type="dxa"/>
            </w:tcMar>
          </w:tcPr>
          <w:p>
            <w:pPr>
              <w:spacing w:before="40" w:after="40" w:line="264" w:lineRule="auto"/>
            </w:pPr>
            <w:r>
              <w:rPr>
                <w:rFonts w:ascii="Arial" w:hAnsi="Arial"/>
                <w:b/>
                <w:color w:val="111111"/>
                <w:sz w:val="16"/>
              </w:rPr>
              <w:t>Wohnung oder Unterkunft vor Ort</w:t>
            </w:r>
          </w:p>
        </w:tc>
        <w:tc>
          <w:tcPr>
            <w:tcW w:type="dxa" w:w="6425"/>
            <w:tcMar>
              <w:left w:w="80" w:type="dxa"/>
              <w:right w:w="80" w:type="dxa"/>
            </w:tcMar>
          </w:tcPr>
          <w:p>
            <w:pPr>
              <w:spacing w:before="40" w:after="40" w:line="264" w:lineRule="auto"/>
            </w:pPr>
            <w:r>
              <w:rPr>
                <w:rFonts w:ascii="Arial" w:hAnsi="Arial"/>
                <w:b w:val="0"/>
                <w:color w:val="111111"/>
                <w:sz w:val="16"/>
              </w:rPr>
              <w:t>Wohnheimplatz beantragen oder privat suchen, je nach Wohnungsmarkt am Zielort früh beginnen.</w:t>
            </w:r>
          </w:p>
        </w:tc>
      </w:tr>
      <w:tr>
        <w:tc>
          <w:tcPr>
            <w:tcW w:type="dxa" w:w="3213"/>
            <w:tcMar>
              <w:left w:w="80" w:type="dxa"/>
              <w:right w:w="80" w:type="dxa"/>
            </w:tcMar>
          </w:tcPr>
          <w:p>
            <w:pPr>
              <w:spacing w:before="40" w:after="40" w:line="264" w:lineRule="auto"/>
            </w:pPr>
            <w:r>
              <w:rPr>
                <w:rFonts w:ascii="Arial" w:hAnsi="Arial"/>
                <w:b/>
                <w:color w:val="111111"/>
                <w:sz w:val="16"/>
              </w:rPr>
              <w:t>Zwischenmiete zu Hause klären</w:t>
            </w:r>
          </w:p>
        </w:tc>
        <w:tc>
          <w:tcPr>
            <w:tcW w:type="dxa" w:w="6425"/>
            <w:tcMar>
              <w:left w:w="80" w:type="dxa"/>
              <w:right w:w="80" w:type="dxa"/>
            </w:tcMar>
          </w:tcPr>
          <w:p>
            <w:pPr>
              <w:spacing w:before="40" w:after="40" w:line="264" w:lineRule="auto"/>
            </w:pPr>
            <w:r>
              <w:rPr>
                <w:rFonts w:ascii="Arial" w:hAnsi="Arial"/>
                <w:b w:val="0"/>
                <w:color w:val="111111"/>
                <w:sz w:val="16"/>
              </w:rPr>
              <w:t>Das eigene Zimmer für die Abwesenheit untervermieten oder kündigen, je nach Mietvertrag.</w:t>
            </w:r>
          </w:p>
        </w:tc>
      </w:tr>
      <w:tr>
        <w:tc>
          <w:tcPr>
            <w:tcW w:type="dxa" w:w="3213"/>
            <w:tcMar>
              <w:left w:w="80" w:type="dxa"/>
              <w:right w:w="80" w:type="dxa"/>
            </w:tcMar>
          </w:tcPr>
          <w:p>
            <w:pPr>
              <w:spacing w:before="40" w:after="40" w:line="264" w:lineRule="auto"/>
            </w:pPr>
            <w:r>
              <w:rPr>
                <w:rFonts w:ascii="Arial" w:hAnsi="Arial"/>
                <w:b/>
                <w:color w:val="111111"/>
                <w:sz w:val="16"/>
              </w:rPr>
              <w:t>Konto und Karten</w:t>
            </w:r>
          </w:p>
        </w:tc>
        <w:tc>
          <w:tcPr>
            <w:tcW w:type="dxa" w:w="6425"/>
            <w:tcMar>
              <w:left w:w="80" w:type="dxa"/>
              <w:right w:w="80" w:type="dxa"/>
            </w:tcMar>
          </w:tcPr>
          <w:p>
            <w:pPr>
              <w:spacing w:before="40" w:after="40" w:line="264" w:lineRule="auto"/>
            </w:pPr>
            <w:r>
              <w:rPr>
                <w:rFonts w:ascii="Arial" w:hAnsi="Arial"/>
                <w:b w:val="0"/>
                <w:color w:val="111111"/>
                <w:sz w:val="16"/>
              </w:rPr>
              <w:t>Prüfen, ob die eigene Bankkarte vor Ort funktioniert, gegebenenfalls ein Konto im Zielland eröffnen.</w:t>
            </w:r>
          </w:p>
        </w:tc>
      </w:tr>
      <w:tr>
        <w:tc>
          <w:tcPr>
            <w:tcW w:type="dxa" w:w="3213"/>
            <w:tcMar>
              <w:left w:w="80" w:type="dxa"/>
              <w:right w:w="80" w:type="dxa"/>
            </w:tcMar>
          </w:tcPr>
          <w:p>
            <w:pPr>
              <w:spacing w:before="40" w:after="40" w:line="264" w:lineRule="auto"/>
            </w:pPr>
            <w:r>
              <w:rPr>
                <w:rFonts w:ascii="Arial" w:hAnsi="Arial"/>
                <w:b/>
                <w:color w:val="111111"/>
                <w:sz w:val="16"/>
              </w:rPr>
              <w:t>Impfungen</w:t>
            </w:r>
          </w:p>
        </w:tc>
        <w:tc>
          <w:tcPr>
            <w:tcW w:type="dxa" w:w="6425"/>
            <w:tcMar>
              <w:left w:w="80" w:type="dxa"/>
              <w:right w:w="80" w:type="dxa"/>
            </w:tcMar>
          </w:tcPr>
          <w:p>
            <w:pPr>
              <w:spacing w:before="40" w:after="40" w:line="264" w:lineRule="auto"/>
            </w:pPr>
            <w:r>
              <w:rPr>
                <w:rFonts w:ascii="Arial" w:hAnsi="Arial"/>
                <w:b w:val="0"/>
                <w:color w:val="111111"/>
                <w:sz w:val="16"/>
              </w:rPr>
              <w:t>Rechtzeitig prüfen, welche Impfungen für das Zielland empfohlen sind, manche brauchen mehrere Termine.</w:t>
            </w:r>
          </w:p>
        </w:tc>
      </w:tr>
      <w:tr>
        <w:tc>
          <w:tcPr>
            <w:tcW w:type="dxa" w:w="3213"/>
            <w:tcMar>
              <w:left w:w="80" w:type="dxa"/>
              <w:right w:w="80" w:type="dxa"/>
            </w:tcMar>
          </w:tcPr>
          <w:p>
            <w:pPr>
              <w:spacing w:before="40" w:after="40" w:line="264" w:lineRule="auto"/>
            </w:pPr>
            <w:r>
              <w:rPr>
                <w:rFonts w:ascii="Arial" w:hAnsi="Arial"/>
                <w:b/>
                <w:color w:val="111111"/>
                <w:sz w:val="16"/>
              </w:rPr>
              <w:t>Handyvertrag oder eSIM</w:t>
            </w:r>
          </w:p>
        </w:tc>
        <w:tc>
          <w:tcPr>
            <w:tcW w:type="dxa" w:w="6425"/>
            <w:tcMar>
              <w:left w:w="80" w:type="dxa"/>
              <w:right w:w="80" w:type="dxa"/>
            </w:tcMar>
          </w:tcPr>
          <w:p>
            <w:pPr>
              <w:spacing w:before="40" w:after="40" w:line="264" w:lineRule="auto"/>
            </w:pPr>
            <w:r>
              <w:rPr>
                <w:rFonts w:ascii="Arial" w:hAnsi="Arial"/>
                <w:b w:val="0"/>
                <w:color w:val="111111"/>
                <w:sz w:val="16"/>
              </w:rPr>
              <w:t>Klären, ob der bestehende Vertrag im Ausland gilt oder eine lokale SIM beziehungsweise eSIM nötig ist.</w:t>
            </w:r>
          </w:p>
        </w:tc>
      </w:tr>
    </w:tbl>
    <w:p>
      <w:pPr>
        <w:spacing w:before="0" w:after="120" w:line="276" w:lineRule="auto"/>
      </w:pPr>
    </w:p>
    <w:p>
      <w:pPr>
        <w:spacing w:before="280" w:after="120" w:line="276" w:lineRule="auto"/>
      </w:pPr>
      <w:r>
        <w:rPr>
          <w:rFonts w:ascii="Arial" w:hAnsi="Arial"/>
          <w:b/>
          <w:i w:val="0"/>
          <w:color w:val="111111"/>
          <w:sz w:val="24"/>
        </w:rPr>
        <w:t>Wege ins Ausland im Vergleich</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2409"/>
        <w:gridCol w:w="4016"/>
        <w:gridCol w:w="3213"/>
      </w:tblGrid>
      <w:tr>
        <w:tc>
          <w:tcPr>
            <w:tcW w:type="dxa" w:w="2409"/>
            <w:shd w:val="clear" w:color="auto" w:fill="F2F8F4"/>
            <w:tcMar>
              <w:left w:w="80" w:type="dxa"/>
              <w:right w:w="80" w:type="dxa"/>
            </w:tcMar>
          </w:tcPr>
          <w:p>
            <w:pPr>
              <w:spacing w:before="40" w:after="40" w:line="264" w:lineRule="auto"/>
            </w:pPr>
            <w:r>
              <w:rPr>
                <w:rFonts w:ascii="Arial" w:hAnsi="Arial"/>
                <w:b/>
                <w:color w:val="006B46"/>
                <w:sz w:val="15"/>
              </w:rPr>
              <w:t>Weg</w:t>
            </w:r>
          </w:p>
        </w:tc>
        <w:tc>
          <w:tcPr>
            <w:tcW w:type="dxa" w:w="4016"/>
            <w:shd w:val="clear" w:color="auto" w:fill="F2F8F4"/>
            <w:tcMar>
              <w:left w:w="80" w:type="dxa"/>
              <w:right w:w="80" w:type="dxa"/>
            </w:tcMar>
          </w:tcPr>
          <w:p>
            <w:pPr>
              <w:spacing w:before="40" w:after="40" w:line="264" w:lineRule="auto"/>
            </w:pPr>
            <w:r>
              <w:rPr>
                <w:rFonts w:ascii="Arial" w:hAnsi="Arial"/>
                <w:b/>
                <w:color w:val="006B46"/>
                <w:sz w:val="15"/>
              </w:rPr>
              <w:t>Was ihn kennzeichnet</w:t>
            </w:r>
          </w:p>
        </w:tc>
        <w:tc>
          <w:tcPr>
            <w:tcW w:type="dxa" w:w="3213"/>
            <w:shd w:val="clear" w:color="auto" w:fill="F2F8F4"/>
            <w:tcMar>
              <w:left w:w="80" w:type="dxa"/>
              <w:right w:w="80" w:type="dxa"/>
            </w:tcMar>
          </w:tcPr>
          <w:p>
            <w:pPr>
              <w:spacing w:before="40" w:after="40" w:line="264" w:lineRule="auto"/>
            </w:pPr>
            <w:r>
              <w:rPr>
                <w:rFonts w:ascii="Arial" w:hAnsi="Arial"/>
                <w:b/>
                <w:color w:val="006B46"/>
                <w:sz w:val="15"/>
              </w:rPr>
              <w:t>Für wen er passt</w:t>
            </w:r>
          </w:p>
        </w:tc>
      </w:tr>
      <w:tr>
        <w:tc>
          <w:tcPr>
            <w:tcW w:type="dxa" w:w="2409"/>
            <w:tcMar>
              <w:left w:w="80" w:type="dxa"/>
              <w:right w:w="80" w:type="dxa"/>
            </w:tcMar>
          </w:tcPr>
          <w:p>
            <w:pPr>
              <w:spacing w:before="40" w:after="40" w:line="264" w:lineRule="auto"/>
            </w:pPr>
            <w:r>
              <w:rPr>
                <w:rFonts w:ascii="Arial" w:hAnsi="Arial"/>
                <w:b/>
                <w:color w:val="111111"/>
                <w:sz w:val="15"/>
              </w:rPr>
              <w:t>Erasmus</w:t>
            </w:r>
          </w:p>
        </w:tc>
        <w:tc>
          <w:tcPr>
            <w:tcW w:type="dxa" w:w="4016"/>
            <w:tcMar>
              <w:left w:w="80" w:type="dxa"/>
              <w:right w:w="80" w:type="dxa"/>
            </w:tcMar>
          </w:tcPr>
          <w:p>
            <w:pPr>
              <w:spacing w:before="40" w:after="40" w:line="264" w:lineRule="auto"/>
            </w:pPr>
            <w:r>
              <w:rPr>
                <w:rFonts w:ascii="Arial" w:hAnsi="Arial"/>
                <w:b w:val="0"/>
                <w:color w:val="111111"/>
                <w:sz w:val="15"/>
              </w:rPr>
              <w:t>Austauschprogramm innerhalb Europas mit fester Kooperation zwischen Hochschulen</w:t>
            </w:r>
          </w:p>
        </w:tc>
        <w:tc>
          <w:tcPr>
            <w:tcW w:type="dxa" w:w="3213"/>
            <w:tcMar>
              <w:left w:w="80" w:type="dxa"/>
              <w:right w:w="80" w:type="dxa"/>
            </w:tcMar>
          </w:tcPr>
          <w:p>
            <w:pPr>
              <w:spacing w:before="40" w:after="40" w:line="264" w:lineRule="auto"/>
            </w:pPr>
            <w:r>
              <w:rPr>
                <w:rFonts w:ascii="Arial" w:hAnsi="Arial"/>
                <w:b w:val="0"/>
                <w:color w:val="111111"/>
                <w:sz w:val="15"/>
              </w:rPr>
              <w:t>Wer an einer Partnerhochschule der eigenen Uni studieren will</w:t>
            </w:r>
          </w:p>
        </w:tc>
      </w:tr>
      <w:tr>
        <w:tc>
          <w:tcPr>
            <w:tcW w:type="dxa" w:w="2409"/>
            <w:tcMar>
              <w:left w:w="80" w:type="dxa"/>
              <w:right w:w="80" w:type="dxa"/>
            </w:tcMar>
          </w:tcPr>
          <w:p>
            <w:pPr>
              <w:spacing w:before="40" w:after="40" w:line="264" w:lineRule="auto"/>
            </w:pPr>
            <w:r>
              <w:rPr>
                <w:rFonts w:ascii="Arial" w:hAnsi="Arial"/>
                <w:b/>
                <w:color w:val="111111"/>
                <w:sz w:val="15"/>
              </w:rPr>
              <w:t>Freemover</w:t>
            </w:r>
          </w:p>
        </w:tc>
        <w:tc>
          <w:tcPr>
            <w:tcW w:type="dxa" w:w="4016"/>
            <w:tcMar>
              <w:left w:w="80" w:type="dxa"/>
              <w:right w:w="80" w:type="dxa"/>
            </w:tcMar>
          </w:tcPr>
          <w:p>
            <w:pPr>
              <w:spacing w:before="40" w:after="40" w:line="264" w:lineRule="auto"/>
            </w:pPr>
            <w:r>
              <w:rPr>
                <w:rFonts w:ascii="Arial" w:hAnsi="Arial"/>
                <w:b w:val="0"/>
                <w:color w:val="111111"/>
                <w:sz w:val="15"/>
              </w:rPr>
              <w:t>Eigenständige Bewerbung an einer Hochschule ohne bestehende Kooperation</w:t>
            </w:r>
          </w:p>
        </w:tc>
        <w:tc>
          <w:tcPr>
            <w:tcW w:type="dxa" w:w="3213"/>
            <w:tcMar>
              <w:left w:w="80" w:type="dxa"/>
              <w:right w:w="80" w:type="dxa"/>
            </w:tcMar>
          </w:tcPr>
          <w:p>
            <w:pPr>
              <w:spacing w:before="40" w:after="40" w:line="264" w:lineRule="auto"/>
            </w:pPr>
            <w:r>
              <w:rPr>
                <w:rFonts w:ascii="Arial" w:hAnsi="Arial"/>
                <w:b w:val="0"/>
                <w:color w:val="111111"/>
                <w:sz w:val="15"/>
              </w:rPr>
              <w:t>Wer ein bestimmtes Zielland oder eine bestimmte Hochschule fest im Blick hat</w:t>
            </w:r>
          </w:p>
        </w:tc>
      </w:tr>
      <w:tr>
        <w:tc>
          <w:tcPr>
            <w:tcW w:type="dxa" w:w="2409"/>
            <w:tcMar>
              <w:left w:w="80" w:type="dxa"/>
              <w:right w:w="80" w:type="dxa"/>
            </w:tcMar>
          </w:tcPr>
          <w:p>
            <w:pPr>
              <w:spacing w:before="40" w:after="40" w:line="264" w:lineRule="auto"/>
            </w:pPr>
            <w:r>
              <w:rPr>
                <w:rFonts w:ascii="Arial" w:hAnsi="Arial"/>
                <w:b/>
                <w:color w:val="111111"/>
                <w:sz w:val="15"/>
              </w:rPr>
              <w:t>PROMOS</w:t>
            </w:r>
          </w:p>
        </w:tc>
        <w:tc>
          <w:tcPr>
            <w:tcW w:type="dxa" w:w="4016"/>
            <w:tcMar>
              <w:left w:w="80" w:type="dxa"/>
              <w:right w:w="80" w:type="dxa"/>
            </w:tcMar>
          </w:tcPr>
          <w:p>
            <w:pPr>
              <w:spacing w:before="40" w:after="40" w:line="264" w:lineRule="auto"/>
            </w:pPr>
            <w:r>
              <w:rPr>
                <w:rFonts w:ascii="Arial" w:hAnsi="Arial"/>
                <w:b w:val="0"/>
                <w:color w:val="111111"/>
                <w:sz w:val="15"/>
              </w:rPr>
              <w:t>Förderprogramm für Auslandsaufenthalte außerhalb der klassischen Austauschprogramme</w:t>
            </w:r>
          </w:p>
        </w:tc>
        <w:tc>
          <w:tcPr>
            <w:tcW w:type="dxa" w:w="3213"/>
            <w:tcMar>
              <w:left w:w="80" w:type="dxa"/>
              <w:right w:w="80" w:type="dxa"/>
            </w:tcMar>
          </w:tcPr>
          <w:p>
            <w:pPr>
              <w:spacing w:before="40" w:after="40" w:line="264" w:lineRule="auto"/>
            </w:pPr>
            <w:r>
              <w:rPr>
                <w:rFonts w:ascii="Arial" w:hAnsi="Arial"/>
                <w:b w:val="0"/>
                <w:color w:val="111111"/>
                <w:sz w:val="15"/>
              </w:rPr>
              <w:t>Wer als Freemover oder für ein Praktikum eine Förderung sucht</w:t>
            </w:r>
          </w:p>
        </w:tc>
      </w:tr>
      <w:tr>
        <w:tc>
          <w:tcPr>
            <w:tcW w:type="dxa" w:w="2409"/>
            <w:tcMar>
              <w:left w:w="80" w:type="dxa"/>
              <w:right w:w="80" w:type="dxa"/>
            </w:tcMar>
          </w:tcPr>
          <w:p>
            <w:pPr>
              <w:spacing w:before="40" w:after="40" w:line="264" w:lineRule="auto"/>
            </w:pPr>
            <w:r>
              <w:rPr>
                <w:rFonts w:ascii="Arial" w:hAnsi="Arial"/>
                <w:b/>
                <w:color w:val="111111"/>
                <w:sz w:val="15"/>
              </w:rPr>
              <w:t>Double Degree</w:t>
            </w:r>
          </w:p>
        </w:tc>
        <w:tc>
          <w:tcPr>
            <w:tcW w:type="dxa" w:w="4016"/>
            <w:tcMar>
              <w:left w:w="80" w:type="dxa"/>
              <w:right w:w="80" w:type="dxa"/>
            </w:tcMar>
          </w:tcPr>
          <w:p>
            <w:pPr>
              <w:spacing w:before="40" w:after="40" w:line="264" w:lineRule="auto"/>
            </w:pPr>
            <w:r>
              <w:rPr>
                <w:rFonts w:ascii="Arial" w:hAnsi="Arial"/>
                <w:b w:val="0"/>
                <w:color w:val="111111"/>
                <w:sz w:val="15"/>
              </w:rPr>
              <w:t>Studiengang mit Abschluss an zwei Hochschulen gleichzeitig</w:t>
            </w:r>
          </w:p>
        </w:tc>
        <w:tc>
          <w:tcPr>
            <w:tcW w:type="dxa" w:w="3213"/>
            <w:tcMar>
              <w:left w:w="80" w:type="dxa"/>
              <w:right w:w="80" w:type="dxa"/>
            </w:tcMar>
          </w:tcPr>
          <w:p>
            <w:pPr>
              <w:spacing w:before="40" w:after="40" w:line="264" w:lineRule="auto"/>
            </w:pPr>
            <w:r>
              <w:rPr>
                <w:rFonts w:ascii="Arial" w:hAnsi="Arial"/>
                <w:b w:val="0"/>
                <w:color w:val="111111"/>
                <w:sz w:val="15"/>
              </w:rPr>
              <w:t>Wer sich früh für einen international angelegten Studiengang entschieden hat</w:t>
            </w:r>
          </w:p>
        </w:tc>
      </w:tr>
      <w:tr>
        <w:tc>
          <w:tcPr>
            <w:tcW w:type="dxa" w:w="2409"/>
            <w:tcMar>
              <w:left w:w="80" w:type="dxa"/>
              <w:right w:w="80" w:type="dxa"/>
            </w:tcMar>
          </w:tcPr>
          <w:p>
            <w:pPr>
              <w:spacing w:before="40" w:after="40" w:line="264" w:lineRule="auto"/>
            </w:pPr>
            <w:r>
              <w:rPr>
                <w:rFonts w:ascii="Arial" w:hAnsi="Arial"/>
                <w:b/>
                <w:color w:val="111111"/>
                <w:sz w:val="15"/>
              </w:rPr>
              <w:t>Summer School</w:t>
            </w:r>
          </w:p>
        </w:tc>
        <w:tc>
          <w:tcPr>
            <w:tcW w:type="dxa" w:w="4016"/>
            <w:tcMar>
              <w:left w:w="80" w:type="dxa"/>
              <w:right w:w="80" w:type="dxa"/>
            </w:tcMar>
          </w:tcPr>
          <w:p>
            <w:pPr>
              <w:spacing w:before="40" w:after="40" w:line="264" w:lineRule="auto"/>
            </w:pPr>
            <w:r>
              <w:rPr>
                <w:rFonts w:ascii="Arial" w:hAnsi="Arial"/>
                <w:b w:val="0"/>
                <w:color w:val="111111"/>
                <w:sz w:val="15"/>
              </w:rPr>
              <w:t>Kurzes, meist mehrwöchiges Programm mit einzelnen Kursen</w:t>
            </w:r>
          </w:p>
        </w:tc>
        <w:tc>
          <w:tcPr>
            <w:tcW w:type="dxa" w:w="3213"/>
            <w:tcMar>
              <w:left w:w="80" w:type="dxa"/>
              <w:right w:w="80" w:type="dxa"/>
            </w:tcMar>
          </w:tcPr>
          <w:p>
            <w:pPr>
              <w:spacing w:before="40" w:after="40" w:line="264" w:lineRule="auto"/>
            </w:pPr>
            <w:r>
              <w:rPr>
                <w:rFonts w:ascii="Arial" w:hAnsi="Arial"/>
                <w:b w:val="0"/>
                <w:color w:val="111111"/>
                <w:sz w:val="15"/>
              </w:rPr>
              <w:t>Wer erste Auslandserfahrung sammeln will, ohne ein ganzes Semester zu planen</w:t>
            </w:r>
          </w:p>
        </w:tc>
      </w:tr>
      <w:tr>
        <w:tc>
          <w:tcPr>
            <w:tcW w:type="dxa" w:w="2409"/>
            <w:tcMar>
              <w:left w:w="80" w:type="dxa"/>
              <w:right w:w="80" w:type="dxa"/>
            </w:tcMar>
          </w:tcPr>
          <w:p>
            <w:pPr>
              <w:spacing w:before="40" w:after="40" w:line="264" w:lineRule="auto"/>
            </w:pPr>
            <w:r>
              <w:rPr>
                <w:rFonts w:ascii="Arial" w:hAnsi="Arial"/>
                <w:b/>
                <w:color w:val="111111"/>
                <w:sz w:val="15"/>
              </w:rPr>
              <w:t>Auslandspraktikum</w:t>
            </w:r>
          </w:p>
        </w:tc>
        <w:tc>
          <w:tcPr>
            <w:tcW w:type="dxa" w:w="4016"/>
            <w:tcMar>
              <w:left w:w="80" w:type="dxa"/>
              <w:right w:w="80" w:type="dxa"/>
            </w:tcMar>
          </w:tcPr>
          <w:p>
            <w:pPr>
              <w:spacing w:before="40" w:after="40" w:line="264" w:lineRule="auto"/>
            </w:pPr>
            <w:r>
              <w:rPr>
                <w:rFonts w:ascii="Arial" w:hAnsi="Arial"/>
                <w:b w:val="0"/>
                <w:color w:val="111111"/>
                <w:sz w:val="15"/>
              </w:rPr>
              <w:t>Praktische Tätigkeit im Ausland, oft über die Praxisphase des Studiengangs</w:t>
            </w:r>
          </w:p>
        </w:tc>
        <w:tc>
          <w:tcPr>
            <w:tcW w:type="dxa" w:w="3213"/>
            <w:tcMar>
              <w:left w:w="80" w:type="dxa"/>
              <w:right w:w="80" w:type="dxa"/>
            </w:tcMar>
          </w:tcPr>
          <w:p>
            <w:pPr>
              <w:spacing w:before="40" w:after="40" w:line="264" w:lineRule="auto"/>
            </w:pPr>
            <w:r>
              <w:rPr>
                <w:rFonts w:ascii="Arial" w:hAnsi="Arial"/>
                <w:b w:val="0"/>
                <w:color w:val="111111"/>
                <w:sz w:val="15"/>
              </w:rPr>
              <w:t>Wer statt eines Studiensemesters lieber praktisch arbeiten möchte</w:t>
            </w:r>
          </w:p>
        </w:tc>
      </w:tr>
    </w:tbl>
    <w:p>
      <w:pPr>
        <w:spacing w:before="0" w:after="120" w:line="276" w:lineRule="auto"/>
      </w:pPr>
    </w:p>
    <w:p>
      <w:pPr>
        <w:spacing w:before="280" w:after="120" w:line="276" w:lineRule="auto"/>
      </w:pPr>
      <w:r>
        <w:rPr>
          <w:rFonts w:ascii="Arial" w:hAnsi="Arial"/>
          <w:b/>
          <w:i w:val="0"/>
          <w:color w:val="111111"/>
          <w:sz w:val="24"/>
        </w:rPr>
        <w:t>Anerkennung von Leistungen</w:t>
      </w:r>
    </w:p>
    <w:p>
      <w:pPr>
        <w:spacing w:before="0" w:after="60" w:line="276" w:lineRule="auto"/>
        <w:ind w:left="340" w:hanging="340"/>
      </w:pPr>
      <w:r>
        <w:rPr>
          <w:color w:val="00A85A"/>
        </w:rPr>
        <w:t xml:space="preserve">▪  </w:t>
      </w:r>
      <w:r>
        <w:rPr>
          <w:rFonts w:ascii="Arial" w:hAnsi="Arial"/>
          <w:sz w:val="22"/>
        </w:rPr>
        <w:t>Vor dem Semester: Kurse mit der Fachstudienberatung abgleichen und die geplante Anerkennung im Learning Agreement festhalten, nicht erst nach der Rückkehr.</w:t>
      </w:r>
    </w:p>
    <w:p>
      <w:pPr>
        <w:spacing w:before="0" w:after="60" w:line="276" w:lineRule="auto"/>
        <w:ind w:left="340" w:hanging="340"/>
      </w:pPr>
      <w:r>
        <w:rPr>
          <w:color w:val="00A85A"/>
        </w:rPr>
        <w:t xml:space="preserve">▪  </w:t>
      </w:r>
      <w:r>
        <w:rPr>
          <w:rFonts w:ascii="Arial" w:hAnsi="Arial"/>
          <w:sz w:val="22"/>
        </w:rPr>
        <w:t>Während des Semesters: Kursänderungen sofort mit beiden Hochschulen klären, ein spontaner Kurswechsel ohne Rücksprache gefährdet die spätere Anerkennung.</w:t>
      </w:r>
    </w:p>
    <w:p>
      <w:pPr>
        <w:spacing w:before="0" w:after="60" w:line="276" w:lineRule="auto"/>
        <w:ind w:left="340" w:hanging="340"/>
      </w:pPr>
      <w:r>
        <w:rPr>
          <w:color w:val="00A85A"/>
        </w:rPr>
        <w:t xml:space="preserve">▪  </w:t>
      </w:r>
      <w:r>
        <w:rPr>
          <w:rFonts w:ascii="Arial" w:hAnsi="Arial"/>
          <w:sz w:val="22"/>
        </w:rPr>
        <w:t>Nach dem Semester: Transcript of Records und alle Nachweise vollständig einreichen, damit die Anerkennung formal abgeschlossen werden kann.</w:t>
      </w:r>
    </w:p>
    <w:p>
      <w:pPr>
        <w:spacing w:before="0" w:after="60" w:line="276" w:lineRule="auto"/>
        <w:ind w:left="340" w:hanging="340"/>
      </w:pPr>
      <w:r>
        <w:rPr>
          <w:color w:val="00A85A"/>
        </w:rPr>
        <w:t xml:space="preserve">▪  </w:t>
      </w:r>
      <w:r>
        <w:rPr>
          <w:rFonts w:ascii="Arial" w:hAnsi="Arial"/>
          <w:sz w:val="22"/>
        </w:rPr>
        <w:t>Für jede Abweichung vom ursprünglichen Learning Agreement gilt die eigene Prüfungsordnung beziehungsweise die Vorgabe der Fachstudienberatung, nicht eine allgemeine Regel.</w:t>
      </w:r>
    </w:p>
    <w:p>
      <w:pPr>
        <w:spacing w:before="280" w:after="120" w:line="276" w:lineRule="auto"/>
      </w:pPr>
      <w:r>
        <w:rPr>
          <w:rFonts w:ascii="Arial" w:hAnsi="Arial"/>
          <w:b/>
          <w:i w:val="0"/>
          <w:color w:val="111111"/>
          <w:sz w:val="24"/>
        </w:rPr>
        <w:t>ECTS und Notenumrechnung</w:t>
      </w:r>
    </w:p>
    <w:p>
      <w:pPr>
        <w:spacing w:before="0" w:after="120" w:line="276" w:lineRule="auto"/>
      </w:pPr>
      <w:r>
        <w:rPr>
          <w:rFonts w:ascii="Arial" w:hAnsi="Arial"/>
          <w:b w:val="0"/>
          <w:i w:val="0"/>
          <w:color w:val="111111"/>
          <w:sz w:val="22"/>
        </w:rPr>
        <w:t>ECTS-Punkte zeigen den Arbeitsaufwand eines Kurses, nicht seine Note. Für die Umrechnung von Noten aus dem Ausland verwenden viele Hochschulen eine eigene Umrechnungstabelle oder ein festgelegtes Verfahren, zum Beispiel die sogenannte modifizierte bayerische Formel. Welches Verfahren gilt und wie viele ECTS-Punkte für die Anerkennung nötig sind, steht in der eigenen Prüfungsordnung oder in den Vorgaben des Prüfungsamts, nicht pauschal auf diesem Merkzettel.</w:t>
      </w:r>
    </w:p>
    <w:p>
      <w:pPr>
        <w:spacing w:before="280" w:after="120" w:line="276" w:lineRule="auto"/>
      </w:pPr>
      <w:r>
        <w:rPr>
          <w:rFonts w:ascii="Arial" w:hAnsi="Arial"/>
          <w:b/>
          <w:i w:val="0"/>
          <w:color w:val="111111"/>
          <w:sz w:val="24"/>
        </w:rPr>
        <w:t>Learning Agreement und seine Änderung</w:t>
      </w:r>
    </w:p>
    <w:p>
      <w:pPr>
        <w:spacing w:before="0" w:after="120" w:line="276" w:lineRule="auto"/>
      </w:pPr>
      <w:r>
        <w:rPr>
          <w:rFonts w:ascii="Arial" w:hAnsi="Arial"/>
          <w:b w:val="0"/>
          <w:i w:val="0"/>
          <w:color w:val="111111"/>
          <w:sz w:val="22"/>
        </w:rPr>
        <w:t>Das Learning Agreement listet die Kurse, die im Ausland belegt und danach angerechnet werden sollen, unterschrieben von der eigenen und der Partnerhochschule. Passt ein Kurs vor Ort nicht in den Stundenplan oder fällt aus, gibt es meist ein Verfahren für eine Änderung (oft "Learning Agreement during Mobility" genannt), bei dem wieder beide Hochschulen unterschreiben müssen. Eine Änderung ohne erneute Unterschrift zählt in der Regel nicht als genehmigt.</w:t>
      </w:r>
    </w:p>
    <w:p>
      <w:pPr>
        <w:spacing w:before="280" w:after="120" w:line="276" w:lineRule="auto"/>
      </w:pPr>
      <w:r>
        <w:rPr>
          <w:rFonts w:ascii="Arial" w:hAnsi="Arial"/>
          <w:b/>
          <w:i w:val="0"/>
          <w:color w:val="111111"/>
          <w:sz w:val="24"/>
        </w:rPr>
        <w:t>Checkliste der Dokumente</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3614"/>
        <w:gridCol w:w="6024"/>
      </w:tblGrid>
      <w:tr>
        <w:tc>
          <w:tcPr>
            <w:tcW w:type="dxa" w:w="3614"/>
            <w:shd w:val="clear" w:color="auto" w:fill="F2F8F4"/>
            <w:tcMar>
              <w:left w:w="80" w:type="dxa"/>
              <w:right w:w="80" w:type="dxa"/>
            </w:tcMar>
          </w:tcPr>
          <w:p>
            <w:pPr>
              <w:spacing w:before="40" w:after="40" w:line="264" w:lineRule="auto"/>
            </w:pPr>
            <w:r>
              <w:rPr>
                <w:rFonts w:ascii="Arial" w:hAnsi="Arial"/>
                <w:b/>
                <w:color w:val="006B46"/>
                <w:sz w:val="15"/>
              </w:rPr>
              <w:t>Dokument</w:t>
            </w:r>
          </w:p>
        </w:tc>
        <w:tc>
          <w:tcPr>
            <w:tcW w:type="dxa" w:w="6024"/>
            <w:shd w:val="clear" w:color="auto" w:fill="F2F8F4"/>
            <w:tcMar>
              <w:left w:w="80" w:type="dxa"/>
              <w:right w:w="80" w:type="dxa"/>
            </w:tcMar>
          </w:tcPr>
          <w:p>
            <w:pPr>
              <w:spacing w:before="40" w:after="40" w:line="264" w:lineRule="auto"/>
            </w:pPr>
            <w:r>
              <w:rPr>
                <w:rFonts w:ascii="Arial" w:hAnsi="Arial"/>
                <w:b/>
                <w:color w:val="006B46"/>
                <w:sz w:val="15"/>
              </w:rPr>
              <w:t>Wofür du es brauchst</w:t>
            </w:r>
          </w:p>
        </w:tc>
      </w:tr>
      <w:tr>
        <w:tc>
          <w:tcPr>
            <w:tcW w:type="dxa" w:w="3614"/>
            <w:tcMar>
              <w:left w:w="80" w:type="dxa"/>
              <w:right w:w="80" w:type="dxa"/>
            </w:tcMar>
          </w:tcPr>
          <w:p>
            <w:pPr>
              <w:spacing w:before="40" w:after="40" w:line="264" w:lineRule="auto"/>
            </w:pPr>
            <w:r>
              <w:rPr>
                <w:rFonts w:ascii="Arial" w:hAnsi="Arial"/>
                <w:b/>
                <w:color w:val="111111"/>
                <w:sz w:val="15"/>
              </w:rPr>
              <w:t>Reisepass oder Personalausweis</w:t>
            </w:r>
          </w:p>
        </w:tc>
        <w:tc>
          <w:tcPr>
            <w:tcW w:type="dxa" w:w="6024"/>
            <w:tcMar>
              <w:left w:w="80" w:type="dxa"/>
              <w:right w:w="80" w:type="dxa"/>
            </w:tcMar>
          </w:tcPr>
          <w:p>
            <w:pPr>
              <w:spacing w:before="40" w:after="40" w:line="264" w:lineRule="auto"/>
            </w:pPr>
            <w:r>
              <w:rPr>
                <w:rFonts w:ascii="Arial" w:hAnsi="Arial"/>
                <w:b w:val="0"/>
                <w:color w:val="111111"/>
                <w:sz w:val="15"/>
              </w:rPr>
              <w:t>Grundvoraussetzung für Einreise, Visum und viele Behördengänge vor Ort.</w:t>
            </w:r>
          </w:p>
        </w:tc>
      </w:tr>
      <w:tr>
        <w:tc>
          <w:tcPr>
            <w:tcW w:type="dxa" w:w="3614"/>
            <w:tcMar>
              <w:left w:w="80" w:type="dxa"/>
              <w:right w:w="80" w:type="dxa"/>
            </w:tcMar>
          </w:tcPr>
          <w:p>
            <w:pPr>
              <w:spacing w:before="40" w:after="40" w:line="264" w:lineRule="auto"/>
            </w:pPr>
            <w:r>
              <w:rPr>
                <w:rFonts w:ascii="Arial" w:hAnsi="Arial"/>
                <w:b/>
                <w:color w:val="111111"/>
                <w:sz w:val="15"/>
              </w:rPr>
              <w:t>Visum</w:t>
            </w:r>
          </w:p>
        </w:tc>
        <w:tc>
          <w:tcPr>
            <w:tcW w:type="dxa" w:w="6024"/>
            <w:tcMar>
              <w:left w:w="80" w:type="dxa"/>
              <w:right w:w="80" w:type="dxa"/>
            </w:tcMar>
          </w:tcPr>
          <w:p>
            <w:pPr>
              <w:spacing w:before="40" w:after="40" w:line="264" w:lineRule="auto"/>
            </w:pPr>
            <w:r>
              <w:rPr>
                <w:rFonts w:ascii="Arial" w:hAnsi="Arial"/>
                <w:b w:val="0"/>
                <w:color w:val="111111"/>
                <w:sz w:val="15"/>
              </w:rPr>
              <w:t>Bei den meisten Zielländern außerhalb der EU Pflicht für einen längeren Aufenthalt.</w:t>
            </w:r>
          </w:p>
        </w:tc>
      </w:tr>
      <w:tr>
        <w:tc>
          <w:tcPr>
            <w:tcW w:type="dxa" w:w="3614"/>
            <w:tcMar>
              <w:left w:w="80" w:type="dxa"/>
              <w:right w:w="80" w:type="dxa"/>
            </w:tcMar>
          </w:tcPr>
          <w:p>
            <w:pPr>
              <w:spacing w:before="40" w:after="40" w:line="264" w:lineRule="auto"/>
            </w:pPr>
            <w:r>
              <w:rPr>
                <w:rFonts w:ascii="Arial" w:hAnsi="Arial"/>
                <w:b/>
                <w:color w:val="111111"/>
                <w:sz w:val="15"/>
              </w:rPr>
              <w:t>Sprachzertifikat</w:t>
            </w:r>
          </w:p>
        </w:tc>
        <w:tc>
          <w:tcPr>
            <w:tcW w:type="dxa" w:w="6024"/>
            <w:tcMar>
              <w:left w:w="80" w:type="dxa"/>
              <w:right w:w="80" w:type="dxa"/>
            </w:tcMar>
          </w:tcPr>
          <w:p>
            <w:pPr>
              <w:spacing w:before="40" w:after="40" w:line="264" w:lineRule="auto"/>
            </w:pPr>
            <w:r>
              <w:rPr>
                <w:rFonts w:ascii="Arial" w:hAnsi="Arial"/>
                <w:b w:val="0"/>
                <w:color w:val="111111"/>
                <w:sz w:val="15"/>
              </w:rPr>
              <w:t>Nachweis des geforderten Sprachniveaus für Bewerbung oder Zulassung.</w:t>
            </w:r>
          </w:p>
        </w:tc>
      </w:tr>
      <w:tr>
        <w:tc>
          <w:tcPr>
            <w:tcW w:type="dxa" w:w="3614"/>
            <w:tcMar>
              <w:left w:w="80" w:type="dxa"/>
              <w:right w:w="80" w:type="dxa"/>
            </w:tcMar>
          </w:tcPr>
          <w:p>
            <w:pPr>
              <w:spacing w:before="40" w:after="40" w:line="264" w:lineRule="auto"/>
            </w:pPr>
            <w:r>
              <w:rPr>
                <w:rFonts w:ascii="Arial" w:hAnsi="Arial"/>
                <w:b/>
                <w:color w:val="111111"/>
                <w:sz w:val="15"/>
              </w:rPr>
              <w:t>Nominierungsschreiben</w:t>
            </w:r>
          </w:p>
        </w:tc>
        <w:tc>
          <w:tcPr>
            <w:tcW w:type="dxa" w:w="6024"/>
            <w:tcMar>
              <w:left w:w="80" w:type="dxa"/>
              <w:right w:w="80" w:type="dxa"/>
            </w:tcMar>
          </w:tcPr>
          <w:p>
            <w:pPr>
              <w:spacing w:before="40" w:after="40" w:line="264" w:lineRule="auto"/>
            </w:pPr>
            <w:r>
              <w:rPr>
                <w:rFonts w:ascii="Arial" w:hAnsi="Arial"/>
                <w:b w:val="0"/>
                <w:color w:val="111111"/>
                <w:sz w:val="15"/>
              </w:rPr>
              <w:t>Bestätigung der eigenen Hochschule an die Partnerhochschule.</w:t>
            </w:r>
          </w:p>
        </w:tc>
      </w:tr>
      <w:tr>
        <w:tc>
          <w:tcPr>
            <w:tcW w:type="dxa" w:w="3614"/>
            <w:tcMar>
              <w:left w:w="80" w:type="dxa"/>
              <w:right w:w="80" w:type="dxa"/>
            </w:tcMar>
          </w:tcPr>
          <w:p>
            <w:pPr>
              <w:spacing w:before="40" w:after="40" w:line="264" w:lineRule="auto"/>
            </w:pPr>
            <w:r>
              <w:rPr>
                <w:rFonts w:ascii="Arial" w:hAnsi="Arial"/>
                <w:b/>
                <w:color w:val="111111"/>
                <w:sz w:val="15"/>
              </w:rPr>
              <w:t>Learning Agreement</w:t>
            </w:r>
          </w:p>
        </w:tc>
        <w:tc>
          <w:tcPr>
            <w:tcW w:type="dxa" w:w="6024"/>
            <w:tcMar>
              <w:left w:w="80" w:type="dxa"/>
              <w:right w:w="80" w:type="dxa"/>
            </w:tcMar>
          </w:tcPr>
          <w:p>
            <w:pPr>
              <w:spacing w:before="40" w:after="40" w:line="264" w:lineRule="auto"/>
            </w:pPr>
            <w:r>
              <w:rPr>
                <w:rFonts w:ascii="Arial" w:hAnsi="Arial"/>
                <w:b w:val="0"/>
                <w:color w:val="111111"/>
                <w:sz w:val="15"/>
              </w:rPr>
              <w:t>Grundlage für die spätere Anerkennung der im Ausland belegten Kurse.</w:t>
            </w:r>
          </w:p>
        </w:tc>
      </w:tr>
      <w:tr>
        <w:tc>
          <w:tcPr>
            <w:tcW w:type="dxa" w:w="3614"/>
            <w:tcMar>
              <w:left w:w="80" w:type="dxa"/>
              <w:right w:w="80" w:type="dxa"/>
            </w:tcMar>
          </w:tcPr>
          <w:p>
            <w:pPr>
              <w:spacing w:before="40" w:after="40" w:line="264" w:lineRule="auto"/>
            </w:pPr>
            <w:r>
              <w:rPr>
                <w:rFonts w:ascii="Arial" w:hAnsi="Arial"/>
                <w:b/>
                <w:color w:val="111111"/>
                <w:sz w:val="15"/>
              </w:rPr>
              <w:t>Zulassungsbescheid der Partnerhochschule</w:t>
            </w:r>
          </w:p>
        </w:tc>
        <w:tc>
          <w:tcPr>
            <w:tcW w:type="dxa" w:w="6024"/>
            <w:tcMar>
              <w:left w:w="80" w:type="dxa"/>
              <w:right w:w="80" w:type="dxa"/>
            </w:tcMar>
          </w:tcPr>
          <w:p>
            <w:pPr>
              <w:spacing w:before="40" w:after="40" w:line="264" w:lineRule="auto"/>
            </w:pPr>
            <w:r>
              <w:rPr>
                <w:rFonts w:ascii="Arial" w:hAnsi="Arial"/>
                <w:b w:val="0"/>
                <w:color w:val="111111"/>
                <w:sz w:val="15"/>
              </w:rPr>
              <w:t>Offizielle Bestätigung, dass du dort studieren darfst.</w:t>
            </w:r>
          </w:p>
        </w:tc>
      </w:tr>
      <w:tr>
        <w:tc>
          <w:tcPr>
            <w:tcW w:type="dxa" w:w="3614"/>
            <w:tcMar>
              <w:left w:w="80" w:type="dxa"/>
              <w:right w:w="80" w:type="dxa"/>
            </w:tcMar>
          </w:tcPr>
          <w:p>
            <w:pPr>
              <w:spacing w:before="40" w:after="40" w:line="264" w:lineRule="auto"/>
            </w:pPr>
            <w:r>
              <w:rPr>
                <w:rFonts w:ascii="Arial" w:hAnsi="Arial"/>
                <w:b/>
                <w:color w:val="111111"/>
                <w:sz w:val="15"/>
              </w:rPr>
              <w:t>Auslandskrankenversicherung</w:t>
            </w:r>
          </w:p>
        </w:tc>
        <w:tc>
          <w:tcPr>
            <w:tcW w:type="dxa" w:w="6024"/>
            <w:tcMar>
              <w:left w:w="80" w:type="dxa"/>
              <w:right w:w="80" w:type="dxa"/>
            </w:tcMar>
          </w:tcPr>
          <w:p>
            <w:pPr>
              <w:spacing w:before="40" w:after="40" w:line="264" w:lineRule="auto"/>
            </w:pPr>
            <w:r>
              <w:rPr>
                <w:rFonts w:ascii="Arial" w:hAnsi="Arial"/>
                <w:b w:val="0"/>
                <w:color w:val="111111"/>
                <w:sz w:val="15"/>
              </w:rPr>
              <w:t>Nachweis, oft Voraussetzung für Visum oder Immatrikulation vor Ort.</w:t>
            </w:r>
          </w:p>
        </w:tc>
      </w:tr>
      <w:tr>
        <w:tc>
          <w:tcPr>
            <w:tcW w:type="dxa" w:w="3614"/>
            <w:tcMar>
              <w:left w:w="80" w:type="dxa"/>
              <w:right w:w="80" w:type="dxa"/>
            </w:tcMar>
          </w:tcPr>
          <w:p>
            <w:pPr>
              <w:spacing w:before="40" w:after="40" w:line="264" w:lineRule="auto"/>
            </w:pPr>
            <w:r>
              <w:rPr>
                <w:rFonts w:ascii="Arial" w:hAnsi="Arial"/>
                <w:b/>
                <w:color w:val="111111"/>
                <w:sz w:val="15"/>
              </w:rPr>
              <w:t>Immatrikulationsbescheinigung</w:t>
            </w:r>
          </w:p>
        </w:tc>
        <w:tc>
          <w:tcPr>
            <w:tcW w:type="dxa" w:w="6024"/>
            <w:tcMar>
              <w:left w:w="80" w:type="dxa"/>
              <w:right w:w="80" w:type="dxa"/>
            </w:tcMar>
          </w:tcPr>
          <w:p>
            <w:pPr>
              <w:spacing w:before="40" w:after="40" w:line="264" w:lineRule="auto"/>
            </w:pPr>
            <w:r>
              <w:rPr>
                <w:rFonts w:ascii="Arial" w:hAnsi="Arial"/>
                <w:b w:val="0"/>
                <w:color w:val="111111"/>
                <w:sz w:val="15"/>
              </w:rPr>
              <w:t>Nachweis der eigenen Einschreibung, wird an mehreren Stellen verlangt.</w:t>
            </w:r>
          </w:p>
        </w:tc>
      </w:tr>
      <w:tr>
        <w:tc>
          <w:tcPr>
            <w:tcW w:type="dxa" w:w="3614"/>
            <w:tcMar>
              <w:left w:w="80" w:type="dxa"/>
              <w:right w:w="80" w:type="dxa"/>
            </w:tcMar>
          </w:tcPr>
          <w:p>
            <w:pPr>
              <w:spacing w:before="40" w:after="40" w:line="264" w:lineRule="auto"/>
            </w:pPr>
            <w:r>
              <w:rPr>
                <w:rFonts w:ascii="Arial" w:hAnsi="Arial"/>
                <w:b/>
                <w:color w:val="111111"/>
                <w:sz w:val="15"/>
              </w:rPr>
              <w:t>Notenauszug (Transcript of Records)</w:t>
            </w:r>
          </w:p>
        </w:tc>
        <w:tc>
          <w:tcPr>
            <w:tcW w:type="dxa" w:w="6024"/>
            <w:tcMar>
              <w:left w:w="80" w:type="dxa"/>
              <w:right w:w="80" w:type="dxa"/>
            </w:tcMar>
          </w:tcPr>
          <w:p>
            <w:pPr>
              <w:spacing w:before="40" w:after="40" w:line="264" w:lineRule="auto"/>
            </w:pPr>
            <w:r>
              <w:rPr>
                <w:rFonts w:ascii="Arial" w:hAnsi="Arial"/>
                <w:b w:val="0"/>
                <w:color w:val="111111"/>
                <w:sz w:val="15"/>
              </w:rPr>
              <w:t>Vor der Abreise als Ausgangspunkt, nach der Rückkehr für die Anerkennung.</w:t>
            </w:r>
          </w:p>
        </w:tc>
      </w:tr>
      <w:tr>
        <w:tc>
          <w:tcPr>
            <w:tcW w:type="dxa" w:w="3614"/>
            <w:tcMar>
              <w:left w:w="80" w:type="dxa"/>
              <w:right w:w="80" w:type="dxa"/>
            </w:tcMar>
          </w:tcPr>
          <w:p>
            <w:pPr>
              <w:spacing w:before="40" w:after="40" w:line="264" w:lineRule="auto"/>
            </w:pPr>
            <w:r>
              <w:rPr>
                <w:rFonts w:ascii="Arial" w:hAnsi="Arial"/>
                <w:b/>
                <w:color w:val="111111"/>
                <w:sz w:val="15"/>
              </w:rPr>
              <w:t>Finanzierungsnachweis</w:t>
            </w:r>
          </w:p>
        </w:tc>
        <w:tc>
          <w:tcPr>
            <w:tcW w:type="dxa" w:w="6024"/>
            <w:tcMar>
              <w:left w:w="80" w:type="dxa"/>
              <w:right w:w="80" w:type="dxa"/>
            </w:tcMar>
          </w:tcPr>
          <w:p>
            <w:pPr>
              <w:spacing w:before="40" w:after="40" w:line="264" w:lineRule="auto"/>
            </w:pPr>
            <w:r>
              <w:rPr>
                <w:rFonts w:ascii="Arial" w:hAnsi="Arial"/>
                <w:b w:val="0"/>
                <w:color w:val="111111"/>
                <w:sz w:val="15"/>
              </w:rPr>
              <w:t>Bei manchen Visa Pflicht, um den Aufenthalt zu belegen.</w:t>
            </w:r>
          </w:p>
        </w:tc>
      </w:tr>
      <w:tr>
        <w:tc>
          <w:tcPr>
            <w:tcW w:type="dxa" w:w="3614"/>
            <w:tcMar>
              <w:left w:w="80" w:type="dxa"/>
              <w:right w:w="80" w:type="dxa"/>
            </w:tcMar>
          </w:tcPr>
          <w:p>
            <w:pPr>
              <w:spacing w:before="40" w:after="40" w:line="264" w:lineRule="auto"/>
            </w:pPr>
            <w:r>
              <w:rPr>
                <w:rFonts w:ascii="Arial" w:hAnsi="Arial"/>
                <w:b/>
                <w:color w:val="111111"/>
                <w:sz w:val="15"/>
              </w:rPr>
              <w:t>Impfausweis</w:t>
            </w:r>
          </w:p>
        </w:tc>
        <w:tc>
          <w:tcPr>
            <w:tcW w:type="dxa" w:w="6024"/>
            <w:tcMar>
              <w:left w:w="80" w:type="dxa"/>
              <w:right w:w="80" w:type="dxa"/>
            </w:tcMar>
          </w:tcPr>
          <w:p>
            <w:pPr>
              <w:spacing w:before="40" w:after="40" w:line="264" w:lineRule="auto"/>
            </w:pPr>
            <w:r>
              <w:rPr>
                <w:rFonts w:ascii="Arial" w:hAnsi="Arial"/>
                <w:b w:val="0"/>
                <w:color w:val="111111"/>
                <w:sz w:val="15"/>
              </w:rPr>
              <w:t>Für Einreise oder Immatrikulation an manchen Zielorten verlangt.</w:t>
            </w:r>
          </w:p>
        </w:tc>
      </w:tr>
      <w:tr>
        <w:tc>
          <w:tcPr>
            <w:tcW w:type="dxa" w:w="3614"/>
            <w:tcMar>
              <w:left w:w="80" w:type="dxa"/>
              <w:right w:w="80" w:type="dxa"/>
            </w:tcMar>
          </w:tcPr>
          <w:p>
            <w:pPr>
              <w:spacing w:before="40" w:after="40" w:line="264" w:lineRule="auto"/>
            </w:pPr>
            <w:r>
              <w:rPr>
                <w:rFonts w:ascii="Arial" w:hAnsi="Arial"/>
                <w:b/>
                <w:color w:val="111111"/>
                <w:sz w:val="15"/>
              </w:rPr>
              <w:t>Kontoauszug oder Bankbestätigung</w:t>
            </w:r>
          </w:p>
        </w:tc>
        <w:tc>
          <w:tcPr>
            <w:tcW w:type="dxa" w:w="6024"/>
            <w:tcMar>
              <w:left w:w="80" w:type="dxa"/>
              <w:right w:w="80" w:type="dxa"/>
            </w:tcMar>
          </w:tcPr>
          <w:p>
            <w:pPr>
              <w:spacing w:before="40" w:after="40" w:line="264" w:lineRule="auto"/>
            </w:pPr>
            <w:r>
              <w:rPr>
                <w:rFonts w:ascii="Arial" w:hAnsi="Arial"/>
                <w:b w:val="0"/>
                <w:color w:val="111111"/>
                <w:sz w:val="15"/>
              </w:rPr>
              <w:t>Für Konto- oder Wohnungssuche vor Ort oft verlangt.</w:t>
            </w:r>
          </w:p>
        </w:tc>
      </w:tr>
    </w:tbl>
    <w:p>
      <w:pPr>
        <w:spacing w:before="0" w:after="120" w:line="276" w:lineRule="auto"/>
      </w:pPr>
    </w:p>
    <w:p>
      <w:pPr>
        <w:spacing w:before="280" w:after="120" w:line="276" w:lineRule="auto"/>
      </w:pPr>
      <w:r>
        <w:rPr>
          <w:rFonts w:ascii="Arial" w:hAnsi="Arial"/>
          <w:b/>
          <w:i w:val="0"/>
          <w:color w:val="111111"/>
          <w:sz w:val="24"/>
        </w:rPr>
        <w:t>Typische Fehler</w:t>
      </w:r>
    </w:p>
    <w:p>
      <w:pPr>
        <w:spacing w:before="0" w:after="60" w:line="276" w:lineRule="auto"/>
        <w:ind w:left="340" w:hanging="340"/>
      </w:pPr>
      <w:r>
        <w:rPr>
          <w:color w:val="00A85A"/>
        </w:rPr>
        <w:t xml:space="preserve">▪  </w:t>
      </w:r>
      <w:r>
        <w:rPr>
          <w:rFonts w:ascii="Arial" w:hAnsi="Arial"/>
          <w:sz w:val="22"/>
        </w:rPr>
        <w:t>Die Anerkennung wird erst nach der Rückkehr geklärt, dabei muss sie meist schon vorher mit der Fachstudienberatung abgestimmt sein.</w:t>
      </w:r>
    </w:p>
    <w:p>
      <w:pPr>
        <w:spacing w:before="0" w:after="60" w:line="276" w:lineRule="auto"/>
        <w:ind w:left="340" w:hanging="340"/>
      </w:pPr>
      <w:r>
        <w:rPr>
          <w:color w:val="00A85A"/>
        </w:rPr>
        <w:t xml:space="preserve">▪  </w:t>
      </w:r>
      <w:r>
        <w:rPr>
          <w:rFonts w:ascii="Arial" w:hAnsi="Arial"/>
          <w:sz w:val="22"/>
        </w:rPr>
        <w:t>Förderantrag oder Visum werden zu spät gestellt, weil die Bearbeitungszeit der zuständigen Stelle unterschätzt wird.</w:t>
      </w:r>
    </w:p>
    <w:p>
      <w:pPr>
        <w:spacing w:before="0" w:after="60" w:line="276" w:lineRule="auto"/>
        <w:ind w:left="340" w:hanging="340"/>
      </w:pPr>
      <w:r>
        <w:rPr>
          <w:color w:val="00A85A"/>
        </w:rPr>
        <w:t xml:space="preserve">▪  </w:t>
      </w:r>
      <w:r>
        <w:rPr>
          <w:rFonts w:ascii="Arial" w:hAnsi="Arial"/>
          <w:sz w:val="22"/>
        </w:rPr>
        <w:t>Eine Kursänderung vor Ort wird nicht im Learning Agreement nachgetragen, sodass die spätere Anerkennung ins Stocken gerät.</w:t>
      </w:r>
    </w:p>
    <w:p>
      <w:pPr>
        <w:spacing w:before="0" w:after="80" w:line="276" w:lineRule="auto"/>
      </w:pPr>
      <w:r>
        <w:rPr>
          <w:rFonts w:ascii="Arial" w:hAnsi="Arial"/>
          <w:b w:val="0"/>
          <w:i w:val="0"/>
          <w:color w:val="555555"/>
          <w:sz w:val="18"/>
        </w:rPr>
        <w:t>Merkzettel von korrektur.de, frei nutzbar. Stand: September 2026.</w:t>
      </w:r>
    </w:p>
    <w:sectPr w:rsidR="00FC693F" w:rsidRPr="0006063C" w:rsidSect="00034616">
      <w:footerReference w:type="default" r:id="rId12"/>
      <w:pgSz w:w="11906" w:h="16838"/>
      <w:pgMar w:top="964" w:right="1134" w:bottom="850" w:left="1134"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Auslandssemester: Merkzettel für Planung und Organisation</dc:title>
  <dc:subject>Merkzettel zum Ausdrucken, zwei Seiten</dc:subject>
  <dc:creator>korrektur.de</dc:creator>
  <cp:keywords>Auslandssemester, Erasmus, Learning Agreement, ECTS, Anerkennung, Merkzettel, Studium</cp:keywords>
  <dc:description>Kostenlose Vorlage von korrektur.de. Aktuelle Fassung: https://korrektur.de/auslandssemester-organisieren</dc:description>
  <cp:lastModifiedBy>korrektur.de</cp:lastModifiedBy>
  <cp:revision>1</cp:revision>
  <dcterms:created xsi:type="dcterms:W3CDTF">2013-12-23T23:15:00Z</dcterms:created>
  <dcterms:modified xsi:type="dcterms:W3CDTF">2013-12-23T23:15:00Z</dcterms:modified>
  <cp:category>Vorlage</cp:category>
</cp:coreProperties>
</file>